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4ED" w14:textId="59CD2DB6" w:rsidR="00A963EF" w:rsidRPr="00A963EF" w:rsidRDefault="00A963EF" w:rsidP="00A963EF">
      <w:pPr>
        <w:rPr>
          <w:rFonts w:ascii="Arial" w:hAnsi="Arial" w:cs="Arial"/>
          <w:b/>
          <w:bCs/>
          <w:sz w:val="32"/>
          <w:szCs w:val="32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</w:p>
    <w:p w14:paraId="5C933DAC" w14:textId="24B32C4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A963EF">
        <w:rPr>
          <w:rFonts w:ascii="Arial" w:hAnsi="Arial" w:cs="Arial"/>
          <w:b/>
          <w:bCs/>
          <w:sz w:val="28"/>
          <w:szCs w:val="28"/>
        </w:rPr>
        <w:t>Пункт 19 и (Постановление № 24)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  <w:hyperlink r:id="rId4" w:tooltip="О порядке выполнения технических мероприятий ОАО ЧЭК.docx" w:history="1">
        <w:r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  <w:r w:rsidRPr="00A963EF">
        <w:rPr>
          <w:rFonts w:ascii="Arial" w:hAnsi="Arial" w:cs="Arial"/>
          <w:sz w:val="28"/>
          <w:szCs w:val="28"/>
        </w:rPr>
        <w:br/>
      </w:r>
    </w:p>
    <w:p w14:paraId="17B1C475" w14:textId="122BEA96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Открытое акционерное общество «Челябинская электросетевая компания»</w:t>
      </w:r>
    </w:p>
    <w:p w14:paraId="19CA6F3C" w14:textId="11AC1DF4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  <w:r w:rsidRPr="00A963EF">
        <w:rPr>
          <w:rFonts w:ascii="Arial" w:hAnsi="Arial" w:cs="Arial"/>
          <w:b/>
          <w:bCs/>
          <w:sz w:val="28"/>
          <w:szCs w:val="28"/>
        </w:rPr>
        <w:br/>
        <w:t>2. Заключение договора об осуществлении технологического присоединения</w:t>
      </w:r>
      <w:r w:rsidRPr="00A963EF">
        <w:rPr>
          <w:rFonts w:ascii="Arial" w:hAnsi="Arial" w:cs="Arial"/>
          <w:b/>
          <w:bCs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кВ,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Срок направления договора на технологическое присоединение может быть увеличен:</w:t>
      </w:r>
      <w:r w:rsidRPr="00A963EF">
        <w:rPr>
          <w:rFonts w:ascii="Arial" w:hAnsi="Arial" w:cs="Arial"/>
          <w:sz w:val="28"/>
          <w:szCs w:val="28"/>
        </w:rPr>
        <w:br/>
        <w:t>-в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A963EF">
        <w:rPr>
          <w:rFonts w:ascii="Arial" w:hAnsi="Arial" w:cs="Arial"/>
          <w:sz w:val="28"/>
          <w:szCs w:val="28"/>
        </w:rPr>
        <w:br/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  <w:r w:rsidRPr="00A963EF">
        <w:rPr>
          <w:rFonts w:ascii="Arial" w:hAnsi="Arial" w:cs="Arial"/>
          <w:sz w:val="28"/>
          <w:szCs w:val="28"/>
        </w:rPr>
        <w:br/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A963EF">
        <w:rPr>
          <w:rFonts w:ascii="Arial" w:hAnsi="Arial" w:cs="Arial"/>
          <w:sz w:val="28"/>
          <w:szCs w:val="28"/>
        </w:rPr>
        <w:t xml:space="preserve">ООО «Энерготранзит»  </w:t>
      </w:r>
      <w:bookmarkEnd w:id="2"/>
      <w:r w:rsidRPr="00A963EF">
        <w:rPr>
          <w:rFonts w:ascii="Arial" w:hAnsi="Arial" w:cs="Arial"/>
          <w:sz w:val="28"/>
          <w:szCs w:val="28"/>
        </w:rPr>
        <w:t>с вышестоящей сетевой организацией.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Заявитель направляет в ООО «Энерготранзит» 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A963EF">
        <w:rPr>
          <w:rFonts w:ascii="Arial" w:hAnsi="Arial" w:cs="Arial"/>
          <w:sz w:val="28"/>
          <w:szCs w:val="28"/>
        </w:rPr>
        <w:br/>
        <w:t>        Договор считается заключенным с даты поступления в ООО «Энерготранзит»  подписанного Заявителем экземпляра.</w:t>
      </w:r>
    </w:p>
    <w:p w14:paraId="061A0327" w14:textId="4F5B7C9F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ООО «Энерготранзит»   проекта договора и технических условий, или для договоров до 150 кВт не оплата в течении 5 дней  с даты направления  счета на оплату поданная этим Заявителем заявка аннулируется.</w:t>
      </w:r>
    </w:p>
    <w:p w14:paraId="48907903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52FCCE87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2EF7A50B" w14:textId="697F4812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3. Определение размера платы</w:t>
      </w:r>
    </w:p>
    <w:p w14:paraId="5E169D26" w14:textId="77777777" w:rsidR="00A963EF" w:rsidRP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Размер платы за технологическое присоединение энергопринимающих устройств определяется в соответствии с решением уполномоченного органа исполнительной власти в области государственного регулирования тарифов. Для лиц, осуществляющих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размер платы составляет не более 550 рублей при условии: присоединение осуществляется по одному источнику энергоснабжения и расстояние от границы участка Заявителя до объектов электросетевого хозяйства ООО «Энерготранзит»  на уровне напряжения до 20 кВ включительно необходимого заявителю класса напряжения составляет:</w:t>
      </w:r>
      <w:r w:rsidRPr="00A963EF">
        <w:rPr>
          <w:rFonts w:ascii="Arial" w:hAnsi="Arial" w:cs="Arial"/>
          <w:sz w:val="28"/>
          <w:szCs w:val="28"/>
        </w:rPr>
        <w:br/>
        <w:t>- не более 300 метров в городах и поселках городского типа;</w:t>
      </w:r>
      <w:r w:rsidRPr="00A963EF">
        <w:rPr>
          <w:rFonts w:ascii="Arial" w:hAnsi="Arial" w:cs="Arial"/>
          <w:sz w:val="28"/>
          <w:szCs w:val="28"/>
        </w:rPr>
        <w:br/>
        <w:t>- не более 500 метров в сельской местности.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Данные положения о размере платы за технологическое присоединение не могут быть применены в следующих случаях: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расположенных в жилых помещениях многоквартирных домов. 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 лет.</w:t>
      </w:r>
      <w:r w:rsidRPr="00A963EF">
        <w:rPr>
          <w:rFonts w:ascii="Arial" w:hAnsi="Arial" w:cs="Arial"/>
          <w:sz w:val="28"/>
          <w:szCs w:val="28"/>
        </w:rPr>
        <w:br/>
        <w:t>В случае если с учетом последующего увеличения максимальной мощности ранее присоединенных энергопринимающих устройств максимальная мощность превысит 15 кВт и (или) превышены вышеуказанные расстояния до сетей заявленного уровня напряжения, расчет платы за технологическое присоединение производится в соответствии с утвержденными региональными тарифами, с которыми можно ознакомиться на сайте ОАО «ЧЭК ».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</w:p>
    <w:p w14:paraId="6D836179" w14:textId="5E00C1C5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  <w:r w:rsidRPr="00A963EF">
        <w:rPr>
          <w:rFonts w:ascii="Arial" w:hAnsi="Arial" w:cs="Arial"/>
          <w:sz w:val="28"/>
          <w:szCs w:val="28"/>
        </w:rPr>
        <w:br/>
      </w:r>
    </w:p>
    <w:p w14:paraId="643F4DED" w14:textId="08C9B76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Мероприятия по технологическому присоединению до границ земельного участка Заявителя осуществляются ООО «Энерготранзит»  .</w:t>
      </w:r>
      <w:r w:rsidRPr="00A963EF">
        <w:rPr>
          <w:rFonts w:ascii="Arial" w:hAnsi="Arial" w:cs="Arial"/>
          <w:sz w:val="28"/>
          <w:szCs w:val="28"/>
        </w:rPr>
        <w:br/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A963EF">
        <w:rPr>
          <w:rFonts w:ascii="Arial" w:hAnsi="Arial" w:cs="Arial"/>
          <w:sz w:val="28"/>
          <w:szCs w:val="28"/>
        </w:rPr>
        <w:br/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</w:p>
    <w:p w14:paraId="6B9D5762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0E2E4616" w14:textId="7372500C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 </w:t>
      </w:r>
      <w:r w:rsidRPr="00A963EF">
        <w:rPr>
          <w:rFonts w:ascii="Arial" w:hAnsi="Arial" w:cs="Arial"/>
          <w:sz w:val="28"/>
          <w:szCs w:val="28"/>
        </w:rPr>
        <w:br/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lastRenderedPageBreak/>
        <w:t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кВ включительно. Для иных категорий заявителей:</w:t>
      </w:r>
      <w:r w:rsidRPr="00A963EF">
        <w:rPr>
          <w:rFonts w:ascii="Arial" w:hAnsi="Arial" w:cs="Arial"/>
          <w:sz w:val="28"/>
          <w:szCs w:val="28"/>
        </w:rPr>
        <w:br/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  <w:r w:rsidRPr="00A963EF">
        <w:rPr>
          <w:rFonts w:ascii="Arial" w:hAnsi="Arial" w:cs="Arial"/>
          <w:sz w:val="28"/>
          <w:szCs w:val="28"/>
        </w:rPr>
        <w:br/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57C54F81" w14:textId="182B2C3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 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A963EF">
        <w:rPr>
          <w:rFonts w:ascii="Arial" w:hAnsi="Arial" w:cs="Arial"/>
          <w:sz w:val="28"/>
          <w:szCs w:val="28"/>
        </w:rPr>
        <w:br/>
        <w:t>По окончании осуществления мероприятий по технологическому присоединению стороны составляют следующие акты:</w:t>
      </w:r>
      <w:r w:rsidRPr="00A963EF">
        <w:rPr>
          <w:rFonts w:ascii="Arial" w:hAnsi="Arial" w:cs="Arial"/>
          <w:sz w:val="28"/>
          <w:szCs w:val="28"/>
        </w:rPr>
        <w:br/>
        <w:t>- разграничения балансовой принадлежности электрических сетей и эксплуатационной ответственности сторон;</w:t>
      </w:r>
      <w:r w:rsidRPr="00A963EF">
        <w:rPr>
          <w:rFonts w:ascii="Arial" w:hAnsi="Arial" w:cs="Arial"/>
          <w:sz w:val="28"/>
          <w:szCs w:val="28"/>
        </w:rPr>
        <w:br/>
        <w:t>- об осуществлении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согласования технологической и (или) аварийной брони (при необходимости).</w:t>
      </w:r>
      <w:r w:rsidRPr="00A963EF">
        <w:rPr>
          <w:rFonts w:ascii="Arial" w:hAnsi="Arial" w:cs="Arial"/>
          <w:sz w:val="28"/>
          <w:szCs w:val="28"/>
        </w:rPr>
        <w:br/>
        <w:t>Примечание:</w:t>
      </w:r>
      <w:r w:rsidRPr="00A963EF">
        <w:rPr>
          <w:rFonts w:ascii="Arial" w:hAnsi="Arial" w:cs="Arial"/>
          <w:sz w:val="28"/>
          <w:szCs w:val="28"/>
        </w:rPr>
        <w:br/>
        <w:t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No 861) и Основными положениями функционирования розничных рынков электрической энергии (постановление Правительства РФ от 04.05.2012 No 442) можно ознакомиться на сайте ООО «Энерготранзит»  .</w:t>
      </w:r>
      <w:r w:rsidRPr="00A963EF">
        <w:rPr>
          <w:rFonts w:ascii="Arial" w:hAnsi="Arial" w:cs="Arial"/>
          <w:sz w:val="28"/>
          <w:szCs w:val="28"/>
        </w:rPr>
        <w:br/>
      </w:r>
    </w:p>
    <w:p w14:paraId="243734A8" w14:textId="4CEFC3E1" w:rsidR="00D37E14" w:rsidRPr="00A963EF" w:rsidRDefault="00D37E14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D32073">
      <w:pgSz w:w="16838" w:h="23810"/>
      <w:pgMar w:top="993" w:right="820" w:bottom="198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20116E"/>
    <w:rsid w:val="00351FE1"/>
    <w:rsid w:val="00A963EF"/>
    <w:rsid w:val="00AD51D0"/>
    <w:rsid w:val="00C33C28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2022-07-07T08:26:00Z</dcterms:created>
  <dcterms:modified xsi:type="dcterms:W3CDTF">2022-07-07T08:26:00Z</dcterms:modified>
</cp:coreProperties>
</file>