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33929" w:rsidRPr="00533929" w:rsidRDefault="00533929" w:rsidP="00533929">
      <w:pPr>
        <w:rPr>
          <w:rFonts w:ascii="Arial" w:hAnsi="Arial" w:cs="Arial"/>
          <w:sz w:val="28"/>
          <w:szCs w:val="28"/>
        </w:rPr>
      </w:pPr>
      <w:bookmarkStart w:id="0" w:name="_GoBack"/>
      <w:bookmarkEnd w:id="0"/>
      <w:r w:rsidRPr="00533929">
        <w:rPr>
          <w:rFonts w:ascii="Arial" w:hAnsi="Arial" w:cs="Arial"/>
          <w:sz w:val="28"/>
          <w:szCs w:val="28"/>
        </w:rPr>
        <w:t xml:space="preserve">                         Нормативные документы</w:t>
      </w:r>
    </w:p>
    <w:p w:rsidR="00533929" w:rsidRPr="00533929" w:rsidRDefault="001F2469" w:rsidP="00533929">
      <w:pPr>
        <w:numPr>
          <w:ilvl w:val="0"/>
          <w:numId w:val="2"/>
        </w:numPr>
        <w:rPr>
          <w:rFonts w:ascii="Arial" w:hAnsi="Arial" w:cs="Arial"/>
          <w:sz w:val="28"/>
          <w:szCs w:val="28"/>
        </w:rPr>
      </w:pPr>
      <w:hyperlink r:id="rId5" w:history="1">
        <w:r w:rsidR="00533929" w:rsidRPr="00533929">
          <w:rPr>
            <w:rStyle w:val="a4"/>
            <w:rFonts w:ascii="Arial" w:hAnsi="Arial" w:cs="Arial"/>
            <w:color w:val="auto"/>
            <w:sz w:val="28"/>
            <w:szCs w:val="28"/>
          </w:rPr>
          <w:t>1. Федеральный закон от 26.03.2003 № 35-Ф3</w:t>
        </w:r>
      </w:hyperlink>
    </w:p>
    <w:p w:rsidR="00533929" w:rsidRPr="00533929" w:rsidRDefault="00533929" w:rsidP="00533929">
      <w:pPr>
        <w:rPr>
          <w:rFonts w:ascii="Arial" w:hAnsi="Arial" w:cs="Arial"/>
          <w:sz w:val="28"/>
          <w:szCs w:val="28"/>
        </w:rPr>
      </w:pPr>
      <w:r w:rsidRPr="00533929">
        <w:rPr>
          <w:rFonts w:ascii="Arial" w:hAnsi="Arial" w:cs="Arial"/>
          <w:sz w:val="28"/>
          <w:szCs w:val="28"/>
        </w:rPr>
        <w:t>RTF, 2.30 МБ</w:t>
      </w:r>
    </w:p>
    <w:p w:rsidR="00533929" w:rsidRPr="00533929" w:rsidRDefault="00533929" w:rsidP="00533929">
      <w:pPr>
        <w:rPr>
          <w:rFonts w:ascii="Arial" w:hAnsi="Arial" w:cs="Arial"/>
          <w:sz w:val="28"/>
          <w:szCs w:val="28"/>
        </w:rPr>
      </w:pPr>
      <w:r w:rsidRPr="00533929">
        <w:rPr>
          <w:rFonts w:ascii="Arial" w:hAnsi="Arial" w:cs="Arial"/>
          <w:sz w:val="28"/>
          <w:szCs w:val="28"/>
        </w:rPr>
        <w:t>«Об электроэнергетике»</w:t>
      </w:r>
    </w:p>
    <w:p w:rsidR="00533929" w:rsidRPr="00533929" w:rsidRDefault="001F2469" w:rsidP="00533929">
      <w:pPr>
        <w:numPr>
          <w:ilvl w:val="0"/>
          <w:numId w:val="2"/>
        </w:numPr>
        <w:rPr>
          <w:rFonts w:ascii="Arial" w:hAnsi="Arial" w:cs="Arial"/>
          <w:sz w:val="28"/>
          <w:szCs w:val="28"/>
        </w:rPr>
      </w:pPr>
      <w:hyperlink r:id="rId6" w:history="1">
        <w:r w:rsidR="00533929" w:rsidRPr="00533929">
          <w:rPr>
            <w:rStyle w:val="a4"/>
            <w:rFonts w:ascii="Arial" w:hAnsi="Arial" w:cs="Arial"/>
            <w:color w:val="auto"/>
            <w:sz w:val="28"/>
            <w:szCs w:val="28"/>
          </w:rPr>
          <w:t>2. Постановление Правительства РФ от 27.12.2004 № 861</w:t>
        </w:r>
      </w:hyperlink>
    </w:p>
    <w:p w:rsidR="00533929" w:rsidRPr="00533929" w:rsidRDefault="00533929" w:rsidP="00533929">
      <w:pPr>
        <w:rPr>
          <w:rFonts w:ascii="Arial" w:hAnsi="Arial" w:cs="Arial"/>
          <w:sz w:val="28"/>
          <w:szCs w:val="28"/>
        </w:rPr>
      </w:pPr>
      <w:r w:rsidRPr="00533929">
        <w:rPr>
          <w:rFonts w:ascii="Arial" w:hAnsi="Arial" w:cs="Arial"/>
          <w:sz w:val="28"/>
          <w:szCs w:val="28"/>
        </w:rPr>
        <w:t>RTF, 4.22 МБ</w:t>
      </w:r>
    </w:p>
    <w:p w:rsidR="00533929" w:rsidRPr="00533929" w:rsidRDefault="00533929" w:rsidP="00533929">
      <w:pPr>
        <w:rPr>
          <w:rFonts w:ascii="Arial" w:hAnsi="Arial" w:cs="Arial"/>
          <w:sz w:val="28"/>
          <w:szCs w:val="28"/>
        </w:rPr>
      </w:pPr>
      <w:r w:rsidRPr="00533929">
        <w:rPr>
          <w:rFonts w:ascii="Arial" w:hAnsi="Arial" w:cs="Arial"/>
          <w:sz w:val="28"/>
          <w:szCs w:val="28"/>
        </w:rPr>
        <w:t xml:space="preserve">«Об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533929">
        <w:rPr>
          <w:rFonts w:ascii="Arial" w:hAnsi="Arial" w:cs="Arial"/>
          <w:sz w:val="28"/>
          <w:szCs w:val="28"/>
        </w:rPr>
        <w:t>энергопринимающих</w:t>
      </w:r>
      <w:proofErr w:type="spellEnd"/>
      <w:r w:rsidRPr="00533929">
        <w:rPr>
          <w:rFonts w:ascii="Arial" w:hAnsi="Arial" w:cs="Arial"/>
          <w:sz w:val="28"/>
          <w:szCs w:val="28"/>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533929" w:rsidRPr="00533929" w:rsidRDefault="001F2469" w:rsidP="00533929">
      <w:pPr>
        <w:numPr>
          <w:ilvl w:val="0"/>
          <w:numId w:val="2"/>
        </w:numPr>
        <w:rPr>
          <w:rFonts w:ascii="Arial" w:hAnsi="Arial" w:cs="Arial"/>
          <w:sz w:val="28"/>
          <w:szCs w:val="28"/>
        </w:rPr>
      </w:pPr>
      <w:hyperlink r:id="rId7" w:history="1">
        <w:r w:rsidR="00533929" w:rsidRPr="00533929">
          <w:rPr>
            <w:rStyle w:val="a4"/>
            <w:rFonts w:ascii="Arial" w:hAnsi="Arial" w:cs="Arial"/>
            <w:color w:val="auto"/>
            <w:sz w:val="28"/>
            <w:szCs w:val="28"/>
          </w:rPr>
          <w:t>3. Постановление Правительства РФ от 04.05.2012 № 442</w:t>
        </w:r>
      </w:hyperlink>
    </w:p>
    <w:p w:rsidR="00533929" w:rsidRPr="00533929" w:rsidRDefault="00533929" w:rsidP="00533929">
      <w:pPr>
        <w:rPr>
          <w:rFonts w:ascii="Arial" w:hAnsi="Arial" w:cs="Arial"/>
          <w:sz w:val="28"/>
          <w:szCs w:val="28"/>
        </w:rPr>
      </w:pPr>
      <w:r w:rsidRPr="00533929">
        <w:rPr>
          <w:rFonts w:ascii="Arial" w:hAnsi="Arial" w:cs="Arial"/>
          <w:sz w:val="28"/>
          <w:szCs w:val="28"/>
        </w:rPr>
        <w:t>RTF, 8.17 МБ</w:t>
      </w:r>
    </w:p>
    <w:p w:rsidR="00533929" w:rsidRPr="00533929" w:rsidRDefault="00533929" w:rsidP="00533929">
      <w:pPr>
        <w:rPr>
          <w:rFonts w:ascii="Arial" w:hAnsi="Arial" w:cs="Arial"/>
          <w:sz w:val="28"/>
          <w:szCs w:val="28"/>
        </w:rPr>
      </w:pPr>
      <w:r w:rsidRPr="00533929">
        <w:rPr>
          <w:rFonts w:ascii="Arial" w:hAnsi="Arial" w:cs="Arial"/>
          <w:sz w:val="28"/>
          <w:szCs w:val="28"/>
        </w:rPr>
        <w:t>«О функционировании розничных рынков электрической энергии, полном и (или) частичном ограничении режима потребления электрической энергии»</w:t>
      </w:r>
    </w:p>
    <w:p w:rsidR="00533929" w:rsidRPr="00533929" w:rsidRDefault="001F2469" w:rsidP="00533929">
      <w:pPr>
        <w:numPr>
          <w:ilvl w:val="0"/>
          <w:numId w:val="2"/>
        </w:numPr>
        <w:rPr>
          <w:rFonts w:ascii="Arial" w:hAnsi="Arial" w:cs="Arial"/>
          <w:sz w:val="28"/>
          <w:szCs w:val="28"/>
        </w:rPr>
      </w:pPr>
      <w:hyperlink r:id="rId8" w:history="1">
        <w:r w:rsidR="00533929" w:rsidRPr="00533929">
          <w:rPr>
            <w:rStyle w:val="a4"/>
            <w:rFonts w:ascii="Arial" w:hAnsi="Arial" w:cs="Arial"/>
            <w:color w:val="auto"/>
            <w:sz w:val="28"/>
            <w:szCs w:val="28"/>
          </w:rPr>
          <w:t>4. Постановление Правительства РФ от 27 июня 2013 № 543</w:t>
        </w:r>
      </w:hyperlink>
    </w:p>
    <w:p w:rsidR="00533929" w:rsidRPr="00533929" w:rsidRDefault="00533929" w:rsidP="00533929">
      <w:pPr>
        <w:rPr>
          <w:rFonts w:ascii="Arial" w:hAnsi="Arial" w:cs="Arial"/>
          <w:sz w:val="28"/>
          <w:szCs w:val="28"/>
        </w:rPr>
      </w:pPr>
      <w:r w:rsidRPr="00533929">
        <w:rPr>
          <w:rFonts w:ascii="Arial" w:hAnsi="Arial" w:cs="Arial"/>
          <w:sz w:val="28"/>
          <w:szCs w:val="28"/>
        </w:rPr>
        <w:t>RTF, 226.72 КБ</w:t>
      </w:r>
    </w:p>
    <w:p w:rsidR="00533929" w:rsidRPr="00533929" w:rsidRDefault="00533929" w:rsidP="00533929">
      <w:pPr>
        <w:rPr>
          <w:rFonts w:ascii="Arial" w:hAnsi="Arial" w:cs="Arial"/>
          <w:sz w:val="28"/>
          <w:szCs w:val="28"/>
        </w:rPr>
      </w:pPr>
      <w:r w:rsidRPr="00533929">
        <w:rPr>
          <w:rFonts w:ascii="Arial" w:hAnsi="Arial" w:cs="Arial"/>
          <w:sz w:val="28"/>
          <w:szCs w:val="28"/>
        </w:rPr>
        <w:t>«О государственном контроле (надзоре) в области регулируемых государством цен (тарифов), а также изменении и признании утратившими силу некоторых актов</w:t>
      </w:r>
      <w:r w:rsidRPr="00533929">
        <w:rPr>
          <w:rFonts w:ascii="Arial" w:hAnsi="Arial" w:cs="Arial"/>
          <w:sz w:val="28"/>
          <w:szCs w:val="28"/>
        </w:rPr>
        <w:br/>
        <w:t>Правительства Российской Федерации»</w:t>
      </w:r>
    </w:p>
    <w:p w:rsidR="00533929" w:rsidRPr="00533929" w:rsidRDefault="001F2469" w:rsidP="00533929">
      <w:pPr>
        <w:numPr>
          <w:ilvl w:val="0"/>
          <w:numId w:val="2"/>
        </w:numPr>
        <w:rPr>
          <w:rFonts w:ascii="Arial" w:hAnsi="Arial" w:cs="Arial"/>
          <w:sz w:val="28"/>
          <w:szCs w:val="28"/>
        </w:rPr>
      </w:pPr>
      <w:hyperlink r:id="rId9" w:history="1">
        <w:r w:rsidR="00533929" w:rsidRPr="00533929">
          <w:rPr>
            <w:rStyle w:val="a4"/>
            <w:rFonts w:ascii="Arial" w:hAnsi="Arial" w:cs="Arial"/>
            <w:color w:val="auto"/>
            <w:sz w:val="28"/>
            <w:szCs w:val="28"/>
          </w:rPr>
          <w:t>5.Приказ ФАС России от 29.08.2017 N 1135/17</w:t>
        </w:r>
      </w:hyperlink>
    </w:p>
    <w:p w:rsidR="00533929" w:rsidRPr="00533929" w:rsidRDefault="00533929" w:rsidP="00533929">
      <w:pPr>
        <w:rPr>
          <w:rFonts w:ascii="Arial" w:hAnsi="Arial" w:cs="Arial"/>
          <w:sz w:val="28"/>
          <w:szCs w:val="28"/>
        </w:rPr>
      </w:pPr>
      <w:r w:rsidRPr="00533929">
        <w:rPr>
          <w:rFonts w:ascii="Arial" w:hAnsi="Arial" w:cs="Arial"/>
          <w:sz w:val="28"/>
          <w:szCs w:val="28"/>
        </w:rPr>
        <w:t>RTF, 1.50 МБ</w:t>
      </w:r>
    </w:p>
    <w:p w:rsidR="00533929" w:rsidRPr="00533929" w:rsidRDefault="00533929" w:rsidP="00533929">
      <w:pPr>
        <w:rPr>
          <w:rFonts w:ascii="Arial" w:hAnsi="Arial" w:cs="Arial"/>
          <w:sz w:val="28"/>
          <w:szCs w:val="28"/>
        </w:rPr>
      </w:pPr>
      <w:r w:rsidRPr="00533929">
        <w:rPr>
          <w:rFonts w:ascii="Arial" w:hAnsi="Arial" w:cs="Arial"/>
          <w:sz w:val="28"/>
          <w:szCs w:val="28"/>
        </w:rPr>
        <w:t>«Об утверждении методических указаний по определению размера платы за технологическое присоединение к электрическим сетям»</w:t>
      </w:r>
    </w:p>
    <w:p w:rsidR="00533929" w:rsidRPr="00533929" w:rsidRDefault="001F2469" w:rsidP="00533929">
      <w:pPr>
        <w:numPr>
          <w:ilvl w:val="0"/>
          <w:numId w:val="2"/>
        </w:numPr>
        <w:rPr>
          <w:rFonts w:ascii="Arial" w:hAnsi="Arial" w:cs="Arial"/>
          <w:sz w:val="28"/>
          <w:szCs w:val="28"/>
        </w:rPr>
      </w:pPr>
      <w:hyperlink r:id="rId10" w:history="1">
        <w:r w:rsidR="00533929" w:rsidRPr="00533929">
          <w:rPr>
            <w:rStyle w:val="a4"/>
            <w:rFonts w:ascii="Arial" w:hAnsi="Arial" w:cs="Arial"/>
            <w:color w:val="auto"/>
            <w:sz w:val="28"/>
            <w:szCs w:val="28"/>
          </w:rPr>
          <w:t>Список нормативно-правовых актов, регулирующих условия договоров об осуществлении ТП</w:t>
        </w:r>
      </w:hyperlink>
    </w:p>
    <w:p w:rsidR="00533929" w:rsidRPr="00533929" w:rsidRDefault="00533929" w:rsidP="00533929">
      <w:pPr>
        <w:rPr>
          <w:rFonts w:ascii="Arial" w:hAnsi="Arial" w:cs="Arial"/>
          <w:sz w:val="28"/>
          <w:szCs w:val="28"/>
        </w:rPr>
      </w:pPr>
      <w:r w:rsidRPr="00533929">
        <w:rPr>
          <w:rFonts w:ascii="Arial" w:hAnsi="Arial" w:cs="Arial"/>
          <w:sz w:val="28"/>
          <w:szCs w:val="28"/>
        </w:rPr>
        <w:t>DOCX, 21.17 КБ</w:t>
      </w:r>
    </w:p>
    <w:p w:rsidR="00533929" w:rsidRPr="00533929" w:rsidRDefault="00533929" w:rsidP="00533929">
      <w:pPr>
        <w:numPr>
          <w:ilvl w:val="0"/>
          <w:numId w:val="3"/>
        </w:numPr>
        <w:rPr>
          <w:rFonts w:ascii="Arial" w:hAnsi="Arial" w:cs="Arial"/>
          <w:sz w:val="28"/>
          <w:szCs w:val="28"/>
        </w:rPr>
      </w:pPr>
      <w:r w:rsidRPr="00533929">
        <w:rPr>
          <w:rFonts w:ascii="Arial" w:hAnsi="Arial" w:cs="Arial"/>
          <w:sz w:val="28"/>
          <w:szCs w:val="28"/>
        </w:rPr>
        <w:lastRenderedPageBreak/>
        <w:t>Решения уполномоченных органов исполнительной власти в области государственного регулирования тарифов:</w:t>
      </w:r>
    </w:p>
    <w:p w:rsidR="00533929" w:rsidRPr="00533929" w:rsidRDefault="00533929" w:rsidP="00533929">
      <w:pPr>
        <w:rPr>
          <w:rFonts w:ascii="Arial" w:hAnsi="Arial" w:cs="Arial"/>
          <w:sz w:val="28"/>
          <w:szCs w:val="28"/>
        </w:rPr>
      </w:pPr>
      <w:r w:rsidRPr="00533929">
        <w:rPr>
          <w:rFonts w:ascii="Arial" w:hAnsi="Arial" w:cs="Arial"/>
          <w:sz w:val="28"/>
          <w:szCs w:val="28"/>
        </w:rPr>
        <w:t>Постановление ГКРТТ от 20.07.2022 №106-54/ТП-2022</w:t>
      </w:r>
    </w:p>
    <w:p w:rsidR="00533929" w:rsidRPr="00533929" w:rsidRDefault="00533929" w:rsidP="00653A9D">
      <w:pPr>
        <w:shd w:val="clear" w:color="auto" w:fill="FFFFFF"/>
        <w:spacing w:after="360" w:line="240" w:lineRule="auto"/>
        <w:textAlignment w:val="baseline"/>
        <w:rPr>
          <w:rFonts w:ascii="Georgia" w:eastAsia="Times New Roman" w:hAnsi="Georgia" w:cs="Times New Roman"/>
          <w:sz w:val="24"/>
          <w:szCs w:val="24"/>
          <w:lang w:eastAsia="ru-RU"/>
        </w:rPr>
      </w:pPr>
    </w:p>
    <w:p w:rsidR="00653A9D" w:rsidRPr="00533929" w:rsidRDefault="00653A9D" w:rsidP="00653A9D">
      <w:pPr>
        <w:shd w:val="clear" w:color="auto" w:fill="FFFFFF"/>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Технологическое присоединение — комплексная услуга, оказываемая сетевыми организациями юридическим и физическим лицам в целях создания возможности для потребления (выдачи) электрической мощности и предусматривающая фактическое присоединение энергетических установок (энергопринимающих устройств) заявителей к объектам сетевого хозяйства.</w:t>
      </w:r>
    </w:p>
    <w:p w:rsidR="00653A9D" w:rsidRPr="00533929" w:rsidRDefault="00653A9D" w:rsidP="00653A9D">
      <w:pPr>
        <w:shd w:val="clear" w:color="auto" w:fill="FFFFFF"/>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Технологическое присоединение необходимо юридическим и физическим лицам, желающим получить возможность электроснабжения вновь построенных объектов. К ним относятся все сооружения, не обеспеченные электроэнергией, — от построек на садово-дачных участках до магазинов, жилых домов, зданий и сооружений предприятий, объектов культурно-развлекательного характера и социальной инфраструктуры.</w:t>
      </w:r>
    </w:p>
    <w:p w:rsidR="00653A9D" w:rsidRPr="00533929" w:rsidRDefault="00653A9D" w:rsidP="00653A9D">
      <w:pPr>
        <w:shd w:val="clear" w:color="auto" w:fill="FFFFFF"/>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xml:space="preserve">Услуга по технологическому присоединению также оказывается потребителям, нуждающимся в увеличении потребляемой мощности на объектах, уже подключенных к электрической сети, а также в случаях необходимости повышения </w:t>
      </w:r>
      <w:proofErr w:type="spellStart"/>
      <w:r w:rsidRPr="00533929">
        <w:rPr>
          <w:rFonts w:ascii="Georgia" w:eastAsia="Times New Roman" w:hAnsi="Georgia" w:cs="Times New Roman"/>
          <w:sz w:val="24"/>
          <w:szCs w:val="24"/>
          <w:lang w:eastAsia="ru-RU"/>
        </w:rPr>
        <w:t>категорийности</w:t>
      </w:r>
      <w:proofErr w:type="spellEnd"/>
      <w:r w:rsidRPr="00533929">
        <w:rPr>
          <w:rFonts w:ascii="Georgia" w:eastAsia="Times New Roman" w:hAnsi="Georgia" w:cs="Times New Roman"/>
          <w:sz w:val="24"/>
          <w:szCs w:val="24"/>
          <w:lang w:eastAsia="ru-RU"/>
        </w:rPr>
        <w:t xml:space="preserve"> (надежности) электроснабжения.</w:t>
      </w:r>
    </w:p>
    <w:p w:rsidR="00653A9D" w:rsidRPr="00533929" w:rsidRDefault="00653A9D" w:rsidP="00653A9D">
      <w:pPr>
        <w:shd w:val="clear" w:color="auto" w:fill="FFFFFF"/>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Технологическое присоединение — это комплекс следующих мероприятий:</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подача заявки юридическим или физическим лицом, которое имеет намерение осуществить технологическое присоединение и увеличение объема присоединенной мощности, а также изменить категорию надежности электроснабжения, точки присоединения, виды производственной деятельности, не влекущие пересмотр (увеличение) величины присоединенной мощности, но изменяющие схему внешнего электроснабжения энергопринимающих устройств заявителя;</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подготовку сетевой организацией технических условий и их согласование с системным оператором, а в случае выдачи технических условий электростанцией — согласование их с системным оператором и со смежными сетевыми организациями;</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Заключение договора об осуществлении технологического присоединения;</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Разработка сетевой организацией проектной документации согласно обязательствам, предусмотренным техническими условиями;</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Разработку заявителем проектной документации в границах его земельного участка согласно обязательствам, предусмотренным техническими условиями;</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Выполнение технических условий заявителем и сетевой организацией, включая осуществление сетевой организацией мероприятий по подключению энергопринимающих устройств под действие аппаратуры релейной защиты и автоматики;</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Проверка выполнения заявителем и сетевой организацией технических условий;</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xml:space="preserve">Осмотр (обследование) присоединяемых энергопринимающих устройств должностным лицом органа федерального государственного энергетического надзора при участии сетевой организации и собственника таких устройств, а также соответствующего субъекта оперативно-диспетчерского управления в </w:t>
      </w:r>
      <w:r w:rsidRPr="00533929">
        <w:rPr>
          <w:rFonts w:ascii="Georgia" w:eastAsia="Times New Roman" w:hAnsi="Georgia" w:cs="Times New Roman"/>
          <w:sz w:val="24"/>
          <w:szCs w:val="24"/>
          <w:lang w:eastAsia="ru-RU"/>
        </w:rPr>
        <w:lastRenderedPageBreak/>
        <w:t>случае, если технические условия подлежат в соответствии с Правилами технологического присоединения согласованию с таким субъектом оперативно-диспетчерского управления;</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Осуществление сетевой организацией фактического присоединения объектов заявителя к электрическим сетям и включение коммутационного аппарата (фиксация коммутационного аппарата в положении «включено»);</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Допуск в эксплуатацию установленного в процессе технологического присоединения прибора учета электрической энергии;</w:t>
      </w:r>
    </w:p>
    <w:p w:rsidR="00653A9D" w:rsidRPr="00533929" w:rsidRDefault="00653A9D" w:rsidP="00653A9D">
      <w:pPr>
        <w:numPr>
          <w:ilvl w:val="0"/>
          <w:numId w:val="1"/>
        </w:numPr>
        <w:spacing w:after="0" w:line="240" w:lineRule="auto"/>
        <w:ind w:left="360"/>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Составление акта об осуществлении технологического присоединения, акта разграничения границ балансовой принадлежности сторон, акта разграничения эксплуатационной ответственности сторон, акта согласования технологической и (или) аварийной брони для заявителей, ограничение режима потребления электрической энергии (мощности) которых может привести к экономическим, экологическим, социальным последствиям и категории которых определены в приложении к Правилам полного и (или) частичного ограничения режима потребления электрической энергии.</w:t>
      </w:r>
    </w:p>
    <w:p w:rsidR="00653A9D" w:rsidRPr="00533929" w:rsidRDefault="00653A9D" w:rsidP="00653A9D">
      <w:pPr>
        <w:shd w:val="clear" w:color="auto" w:fill="FFFFFF"/>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В настоящее время услуга по технологическому присоединению обеспечена нормативно-правовой базой, которая помимо детальной и прозрачной для потребителя методики оказания услуги закрепляет сроки технологического присоединения, права и обязанности сторон.</w:t>
      </w:r>
    </w:p>
    <w:p w:rsidR="00653A9D" w:rsidRPr="00533929" w:rsidRDefault="00653A9D" w:rsidP="00653A9D">
      <w:pPr>
        <w:shd w:val="clear" w:color="auto" w:fill="FFFFFF"/>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По завершении технологического присоединения Вы можете потреблять электроэнергию в заявленных Вами объемах, которая будет оплачиваться Вами в соответствии с установленным тарифом на электроэнергию.</w:t>
      </w:r>
    </w:p>
    <w:p w:rsidR="00653A9D" w:rsidRPr="00533929" w:rsidRDefault="00653A9D" w:rsidP="00653A9D">
      <w:pPr>
        <w:shd w:val="clear" w:color="auto" w:fill="FFFFFF"/>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Тариф на услуги по технологическому присоединению определяется уполномоченными органами в области государственного регулирования тарифов (Государственным Комитетом РТ по тарифам) и регулируется федеральными нормативно-правовыми актами.</w:t>
      </w:r>
    </w:p>
    <w:p w:rsidR="00C9375C" w:rsidRPr="00533929" w:rsidRDefault="008C04E8" w:rsidP="00C9375C">
      <w:pPr>
        <w:shd w:val="clear" w:color="auto" w:fill="FFFFFF"/>
        <w:spacing w:after="0" w:line="312" w:lineRule="atLeast"/>
        <w:textAlignment w:val="baseline"/>
        <w:outlineLvl w:val="0"/>
        <w:rPr>
          <w:rFonts w:ascii="Arial" w:eastAsia="Times New Roman" w:hAnsi="Arial" w:cs="Arial"/>
          <w:b/>
          <w:bCs/>
          <w:kern w:val="36"/>
          <w:sz w:val="32"/>
          <w:szCs w:val="32"/>
          <w:lang w:eastAsia="ru-RU"/>
        </w:rPr>
      </w:pPr>
      <w:r w:rsidRPr="00533929">
        <w:rPr>
          <w:rFonts w:ascii="Arial" w:eastAsia="Times New Roman" w:hAnsi="Arial" w:cs="Arial"/>
          <w:b/>
          <w:bCs/>
          <w:kern w:val="36"/>
          <w:sz w:val="32"/>
          <w:szCs w:val="32"/>
          <w:lang w:eastAsia="ru-RU"/>
        </w:rPr>
        <w:t>П</w:t>
      </w:r>
      <w:r w:rsidR="00C9375C" w:rsidRPr="00533929">
        <w:rPr>
          <w:rFonts w:ascii="Arial" w:eastAsia="Times New Roman" w:hAnsi="Arial" w:cs="Arial"/>
          <w:b/>
          <w:bCs/>
          <w:kern w:val="36"/>
          <w:sz w:val="32"/>
          <w:szCs w:val="32"/>
          <w:lang w:eastAsia="ru-RU"/>
        </w:rPr>
        <w:t>орядок присоединения</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Технологическое присоединение (ТП)</w:t>
      </w:r>
      <w:r w:rsidRPr="00533929">
        <w:rPr>
          <w:rFonts w:ascii="Georgia" w:eastAsia="Times New Roman" w:hAnsi="Georgia" w:cs="Times New Roman"/>
          <w:sz w:val="24"/>
          <w:szCs w:val="24"/>
          <w:lang w:eastAsia="ru-RU"/>
        </w:rPr>
        <w:t xml:space="preserve"> — комплексная услуга, обеспечивающая присоединение </w:t>
      </w:r>
      <w:proofErr w:type="spellStart"/>
      <w:r w:rsidRPr="00533929">
        <w:rPr>
          <w:rFonts w:ascii="Georgia" w:eastAsia="Times New Roman" w:hAnsi="Georgia" w:cs="Times New Roman"/>
          <w:sz w:val="24"/>
          <w:szCs w:val="24"/>
          <w:lang w:eastAsia="ru-RU"/>
        </w:rPr>
        <w:t>энергопринимающего</w:t>
      </w:r>
      <w:proofErr w:type="spellEnd"/>
      <w:r w:rsidRPr="00533929">
        <w:rPr>
          <w:rFonts w:ascii="Georgia" w:eastAsia="Times New Roman" w:hAnsi="Georgia" w:cs="Times New Roman"/>
          <w:sz w:val="24"/>
          <w:szCs w:val="24"/>
          <w:lang w:eastAsia="ru-RU"/>
        </w:rPr>
        <w:t xml:space="preserve"> устройства (ЭПУ) Заявителя к электрической сети сетевой организации.</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Заявка на ТП подается в сетевую организацию при необходимости:</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присоединения впервые вводимых в эксплуатацию ЭПУ или ранее присоединённых ЭПУ, если их максимальная мощность увеличивается;</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изменения категории надежности электроснабжения ранее присоединённых ЭПУ, изменения точек присоединения ранее присоединенных ЭПУ, смены видов производственной деятельности, не влекущие пересмотр величины максимальной мощности, но изменяющие схему внешнего электроснабжения ранее присоединенных ЭПУ.</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1 ШАГ – ПОДАЧА ЗАЯВКИ</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Подать заявку на ТП можно самостоятельно или с помощью своего представителя по доверенности:</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в офисе обслуживание потребителей;</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в «личном кабинете» потребителя</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lastRenderedPageBreak/>
        <w:t>* Для заявителей с мощностью ЭПУ до 150 кВт по одному источнику электроснабжения или на временное присоединение (при наличии заключенного договора на технологическое присоединение для постоянного электроснабжения).</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Образцы заявок можно получить:</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в офисе обслуживание потребителей;</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в разделе сайта «типовые формы документов».</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К заявке необходимо приложить документы:</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план расположения ЭПУ (можно начерченный от руки), которое необходимо присоединить, с привязкой к ориентирам;</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xml:space="preserve">- однолинейная схема электрических сетей заявителя, присоединяемых к сетям энергокомпании, номинальный класс напряжения которых составляет 35 </w:t>
      </w:r>
      <w:proofErr w:type="spellStart"/>
      <w:r w:rsidRPr="00533929">
        <w:rPr>
          <w:rFonts w:ascii="Georgia" w:eastAsia="Times New Roman" w:hAnsi="Georgia" w:cs="Times New Roman"/>
          <w:sz w:val="24"/>
          <w:szCs w:val="24"/>
          <w:lang w:eastAsia="ru-RU"/>
        </w:rPr>
        <w:t>кВ</w:t>
      </w:r>
      <w:proofErr w:type="spellEnd"/>
      <w:r w:rsidRPr="00533929">
        <w:rPr>
          <w:rFonts w:ascii="Georgia" w:eastAsia="Times New Roman" w:hAnsi="Georgia" w:cs="Times New Roman"/>
          <w:sz w:val="24"/>
          <w:szCs w:val="24"/>
          <w:lang w:eastAsia="ru-RU"/>
        </w:rPr>
        <w:t xml:space="preserve"> и выше;</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копия документа, подтверждающего право собственности или иное предусмотренное законом основание на объект капитального строительства и /или земельный участок, на котором расположены/будут располагаться объекты заявителя, либо право собственности или иное предусмотренное законом основание на ЭПУ;</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доверенность или иные документы, подтверждающие полномочия представителя заявителя, подающего заявку в сетевую компанию;</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перечень и мощность ЭПУ, которые могут быть присоединены к устройствам противоаварийной автоматики;</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для юридических лиц — выписка из Единого государственного реестра юридических лиц, для индивидуальных предпринимателей — выписка из Единого государственного реестра индивидуальных предпринимателей;</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копия паспорта гражданина Российской Федерации или иного документа, удостоверяющего личность, если заявителем выступает индивидуальный предприниматель или гражданин;</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копия документа, подтверждающего согласие организации, осуществляющей управление многоквартирным домом либо согласие общего собрания владельцев жилых помещений многоквартирного дома на организацию присоединения (</w:t>
      </w:r>
      <w:r w:rsidRPr="00533929">
        <w:rPr>
          <w:rFonts w:ascii="Georgia" w:eastAsia="Times New Roman" w:hAnsi="Georgia" w:cs="Times New Roman"/>
          <w:i/>
          <w:iCs/>
          <w:sz w:val="24"/>
          <w:szCs w:val="24"/>
          <w:bdr w:val="none" w:sz="0" w:space="0" w:color="auto" w:frame="1"/>
          <w:lang w:eastAsia="ru-RU"/>
        </w:rPr>
        <w:t>для ЭПУ, расположенного в нежилом помещении многоквартирного дома).</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2 ШАГ – ЗАКЛЮЧЕНИЕ ДОГОВОРА ТП</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Сетевая организация направляет Заявителю заполненный и подписанный ею проект договора в 2 экземплярах и технические условия (ТУ). Договор содержит перечень мероприятий по технологическому присоединению, сроки и обязательства сторон по их реализации, размер платы, а также положение об ответственности сторон за невыполнение своих обязательств.</w:t>
      </w:r>
    </w:p>
    <w:p w:rsidR="00C9375C"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Срок направления договора ТП и размер платы*</w:t>
      </w:r>
    </w:p>
    <w:p w:rsidR="00533929" w:rsidRDefault="00533929"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noProof/>
          <w:sz w:val="24"/>
          <w:szCs w:val="24"/>
          <w:lang w:eastAsia="ru-RU"/>
        </w:rPr>
        <w:lastRenderedPageBreak/>
        <w:drawing>
          <wp:inline distT="0" distB="0" distL="0" distR="0">
            <wp:extent cx="5939790" cy="809625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1537" cy="8098631"/>
                    </a:xfrm>
                    <a:prstGeom prst="rect">
                      <a:avLst/>
                    </a:prstGeom>
                    <a:noFill/>
                    <a:ln>
                      <a:noFill/>
                    </a:ln>
                  </pic:spPr>
                </pic:pic>
              </a:graphicData>
            </a:graphic>
          </wp:inline>
        </w:drawing>
      </w:r>
    </w:p>
    <w:p w:rsidR="00533929" w:rsidRPr="00533929" w:rsidRDefault="00533929"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noProof/>
          <w:sz w:val="24"/>
          <w:szCs w:val="24"/>
          <w:lang w:eastAsia="ru-RU"/>
        </w:rPr>
        <w:lastRenderedPageBreak/>
        <w:drawing>
          <wp:inline distT="0" distB="0" distL="0" distR="0">
            <wp:extent cx="5940180" cy="880110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1205" cy="8802619"/>
                    </a:xfrm>
                    <a:prstGeom prst="rect">
                      <a:avLst/>
                    </a:prstGeom>
                    <a:noFill/>
                    <a:ln>
                      <a:noFill/>
                    </a:ln>
                  </pic:spPr>
                </pic:pic>
              </a:graphicData>
            </a:graphic>
          </wp:inline>
        </w:drawing>
      </w:r>
    </w:p>
    <w:p w:rsidR="00533929" w:rsidRDefault="00533929" w:rsidP="00C9375C">
      <w:pPr>
        <w:spacing w:after="360" w:line="240" w:lineRule="auto"/>
        <w:textAlignment w:val="baseline"/>
        <w:rPr>
          <w:rFonts w:ascii="Georgia" w:eastAsia="Times New Roman" w:hAnsi="Georgia" w:cs="Times New Roman"/>
          <w:sz w:val="24"/>
          <w:szCs w:val="24"/>
          <w:lang w:eastAsia="ru-RU"/>
        </w:rPr>
      </w:pPr>
    </w:p>
    <w:p w:rsidR="00533929" w:rsidRDefault="00533929"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noProof/>
          <w:sz w:val="24"/>
          <w:szCs w:val="24"/>
          <w:lang w:eastAsia="ru-RU"/>
        </w:rPr>
        <w:lastRenderedPageBreak/>
        <w:drawing>
          <wp:inline distT="0" distB="0" distL="0" distR="0">
            <wp:extent cx="5940425" cy="8357762"/>
            <wp:effectExtent l="0" t="0" r="317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357762"/>
                    </a:xfrm>
                    <a:prstGeom prst="rect">
                      <a:avLst/>
                    </a:prstGeom>
                    <a:noFill/>
                    <a:ln>
                      <a:noFill/>
                    </a:ln>
                  </pic:spPr>
                </pic:pic>
              </a:graphicData>
            </a:graphic>
          </wp:inline>
        </w:drawing>
      </w:r>
    </w:p>
    <w:p w:rsidR="00533929" w:rsidRDefault="00533929" w:rsidP="00C9375C">
      <w:pPr>
        <w:spacing w:after="360" w:line="240" w:lineRule="auto"/>
        <w:textAlignment w:val="baseline"/>
        <w:rPr>
          <w:rFonts w:ascii="Georgia" w:eastAsia="Times New Roman" w:hAnsi="Georgia" w:cs="Times New Roman"/>
          <w:sz w:val="24"/>
          <w:szCs w:val="24"/>
          <w:lang w:eastAsia="ru-RU"/>
        </w:rPr>
      </w:pPr>
    </w:p>
    <w:p w:rsidR="00533929" w:rsidRDefault="00533929" w:rsidP="00C9375C">
      <w:pPr>
        <w:spacing w:after="360" w:line="240" w:lineRule="auto"/>
        <w:textAlignment w:val="baseline"/>
        <w:rPr>
          <w:rFonts w:ascii="Georgia" w:eastAsia="Times New Roman" w:hAnsi="Georgia" w:cs="Times New Roman"/>
          <w:sz w:val="24"/>
          <w:szCs w:val="24"/>
          <w:lang w:eastAsia="ru-RU"/>
        </w:rPr>
      </w:pP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lastRenderedPageBreak/>
        <w:t>- расстояние от границ участка Заявителя до объектов сетевой компании заявленного класса напряжения — менее 300 метров в городах и поселках городского типа и 500 метров в сельской местности;</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ТП предусматривается по одному источнику электроснабжения ЭПУ.</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- 1 раз в три года для одного лица</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***Согласование технических условий с системным оператором необходимо только в отношении присоединения ЭПУ, максимальная мощность которых превышает 5 МВт или увеличивается на 5 МВт и выше.</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3 ШАГ – ВЫПОЛНЕНИЕ РАБОТ</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Сетевая компания выполняет работы </w:t>
      </w:r>
      <w:r w:rsidRPr="00533929">
        <w:rPr>
          <w:rFonts w:ascii="Georgia" w:eastAsia="Times New Roman" w:hAnsi="Georgia" w:cs="Times New Roman"/>
          <w:b/>
          <w:bCs/>
          <w:sz w:val="24"/>
          <w:szCs w:val="24"/>
          <w:bdr w:val="none" w:sz="0" w:space="0" w:color="auto" w:frame="1"/>
          <w:lang w:eastAsia="ru-RU"/>
        </w:rPr>
        <w:t>до границ</w:t>
      </w:r>
      <w:r w:rsidRPr="00533929">
        <w:rPr>
          <w:rFonts w:ascii="Georgia" w:eastAsia="Times New Roman" w:hAnsi="Georgia" w:cs="Times New Roman"/>
          <w:sz w:val="24"/>
          <w:szCs w:val="24"/>
          <w:lang w:eastAsia="ru-RU"/>
        </w:rPr>
        <w:t> земельного участка Заявителя, где расположены его ЭПУ.</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Заявитель выполняет мероприятия </w:t>
      </w:r>
      <w:r w:rsidRPr="00533929">
        <w:rPr>
          <w:rFonts w:ascii="Georgia" w:eastAsia="Times New Roman" w:hAnsi="Georgia" w:cs="Times New Roman"/>
          <w:b/>
          <w:bCs/>
          <w:sz w:val="24"/>
          <w:szCs w:val="24"/>
          <w:bdr w:val="none" w:sz="0" w:space="0" w:color="auto" w:frame="1"/>
          <w:lang w:eastAsia="ru-RU"/>
        </w:rPr>
        <w:t>в границах</w:t>
      </w:r>
      <w:r w:rsidRPr="00533929">
        <w:rPr>
          <w:rFonts w:ascii="Georgia" w:eastAsia="Times New Roman" w:hAnsi="Georgia" w:cs="Times New Roman"/>
          <w:sz w:val="24"/>
          <w:szCs w:val="24"/>
          <w:lang w:eastAsia="ru-RU"/>
        </w:rPr>
        <w:t> своего земельного участка, на котором расположены ЭПУ.</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Срок осуществления мероприятий</w:t>
      </w:r>
    </w:p>
    <w:tbl>
      <w:tblPr>
        <w:tblW w:w="9600" w:type="dxa"/>
        <w:tblBorders>
          <w:top w:val="single" w:sz="6" w:space="0" w:color="E7E7E7"/>
          <w:left w:val="single" w:sz="6" w:space="0" w:color="E7E7E7"/>
          <w:bottom w:val="single" w:sz="6" w:space="0" w:color="E7E7E7"/>
          <w:right w:val="single" w:sz="6" w:space="0" w:color="E7E7E7"/>
        </w:tblBorders>
        <w:tblCellMar>
          <w:left w:w="0" w:type="dxa"/>
          <w:right w:w="0" w:type="dxa"/>
        </w:tblCellMar>
        <w:tblLook w:val="04A0" w:firstRow="1" w:lastRow="0" w:firstColumn="1" w:lastColumn="0" w:noHBand="0" w:noVBand="1"/>
      </w:tblPr>
      <w:tblGrid>
        <w:gridCol w:w="4669"/>
        <w:gridCol w:w="4931"/>
      </w:tblGrid>
      <w:tr w:rsidR="00533929" w:rsidRPr="00533929" w:rsidTr="00C9375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Мощность</w:t>
            </w:r>
          </w:p>
        </w:t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Выполнение работ, осмотр ЭПУ, получение актов готовности</w:t>
            </w:r>
          </w:p>
        </w:tc>
      </w:tr>
      <w:tr w:rsidR="00533929" w:rsidRPr="00533929" w:rsidTr="00C9375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До 15 кВт включительно</w:t>
            </w:r>
          </w:p>
        </w:t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4-6 месяцев с даты заключения договора ТП</w:t>
            </w:r>
          </w:p>
        </w:tc>
      </w:tr>
      <w:tr w:rsidR="00533929" w:rsidRPr="00533929" w:rsidTr="00C9375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От 15 кВт до 150 кВт включительно</w:t>
            </w:r>
          </w:p>
        </w:t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4-6 месяцев с даты заключения договора ТП</w:t>
            </w:r>
          </w:p>
        </w:tc>
      </w:tr>
      <w:tr w:rsidR="00533929" w:rsidRPr="00533929" w:rsidTr="00C9375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До 670 кВт включительно</w:t>
            </w:r>
          </w:p>
        </w:t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4 месяца — 1 год с даты заключения договора ТП</w:t>
            </w:r>
          </w:p>
        </w:tc>
      </w:tr>
      <w:tr w:rsidR="00533929" w:rsidRPr="00533929" w:rsidTr="00C9375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От 670 кВт</w:t>
            </w:r>
          </w:p>
        </w:t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1-2 года</w:t>
            </w:r>
          </w:p>
        </w:tc>
      </w:tr>
      <w:tr w:rsidR="00533929" w:rsidRPr="00533929" w:rsidTr="00C9375C">
        <w:tc>
          <w:tcPr>
            <w:tcW w:w="0" w:type="auto"/>
            <w:gridSpan w:val="2"/>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При временном ТП</w:t>
            </w:r>
          </w:p>
        </w:tc>
      </w:tr>
      <w:tr w:rsidR="00533929" w:rsidRPr="00533929" w:rsidTr="00C9375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 xml:space="preserve">До 150 кВт включительно для передвижных </w:t>
            </w:r>
            <w:proofErr w:type="spellStart"/>
            <w:r w:rsidRPr="00533929">
              <w:rPr>
                <w:rFonts w:ascii="Times New Roman" w:eastAsia="Times New Roman" w:hAnsi="Times New Roman" w:cs="Times New Roman"/>
                <w:sz w:val="24"/>
                <w:szCs w:val="24"/>
                <w:lang w:eastAsia="ru-RU"/>
              </w:rPr>
              <w:t>объектовили</w:t>
            </w:r>
            <w:proofErr w:type="spellEnd"/>
            <w:r w:rsidRPr="00533929">
              <w:rPr>
                <w:rFonts w:ascii="Times New Roman" w:eastAsia="Times New Roman" w:hAnsi="Times New Roman" w:cs="Times New Roman"/>
                <w:sz w:val="24"/>
                <w:szCs w:val="24"/>
                <w:lang w:eastAsia="ru-RU"/>
              </w:rPr>
              <w:t xml:space="preserve"> по временной схеме электроснабжения.</w:t>
            </w:r>
          </w:p>
        </w:tc>
        <w:tc>
          <w:tcPr>
            <w:tcW w:w="0" w:type="auto"/>
            <w:tcBorders>
              <w:top w:val="single" w:sz="6" w:space="0" w:color="E7E7E7"/>
              <w:left w:val="nil"/>
              <w:bottom w:val="nil"/>
              <w:right w:val="nil"/>
            </w:tcBorders>
            <w:shd w:val="clear" w:color="auto" w:fill="auto"/>
            <w:tcMar>
              <w:top w:w="90" w:type="dxa"/>
              <w:left w:w="360" w:type="dxa"/>
              <w:bottom w:w="90" w:type="dxa"/>
              <w:right w:w="360" w:type="dxa"/>
            </w:tcMar>
            <w:vAlign w:val="bottom"/>
            <w:hideMark/>
          </w:tcPr>
          <w:p w:rsidR="00C9375C" w:rsidRPr="00533929" w:rsidRDefault="00C9375C" w:rsidP="00C9375C">
            <w:pPr>
              <w:spacing w:after="0" w:line="240" w:lineRule="auto"/>
              <w:rPr>
                <w:rFonts w:ascii="Times New Roman" w:eastAsia="Times New Roman" w:hAnsi="Times New Roman" w:cs="Times New Roman"/>
                <w:sz w:val="24"/>
                <w:szCs w:val="24"/>
                <w:lang w:eastAsia="ru-RU"/>
              </w:rPr>
            </w:pPr>
            <w:r w:rsidRPr="00533929">
              <w:rPr>
                <w:rFonts w:ascii="Times New Roman" w:eastAsia="Times New Roman" w:hAnsi="Times New Roman" w:cs="Times New Roman"/>
                <w:sz w:val="24"/>
                <w:szCs w:val="24"/>
                <w:lang w:eastAsia="ru-RU"/>
              </w:rPr>
              <w:t>15 рабочих дней, при этом заявитель самостоятельно выполняет мероприятия по возведению новых энергообъектов.</w:t>
            </w:r>
          </w:p>
        </w:tc>
      </w:tr>
    </w:tbl>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О выполнении своей части работ технических условий заявитель должен уведомить сетевую организацию с приложением документов*:</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в «Личном кабинете» потребителя;</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при очном в офисе обслуживания потребителей.</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xml:space="preserve">*Если ЭПУ вводное устройство до 1000 В, то к уведомлению </w:t>
      </w:r>
      <w:proofErr w:type="gramStart"/>
      <w:r w:rsidRPr="00533929">
        <w:rPr>
          <w:rFonts w:ascii="Georgia" w:eastAsia="Times New Roman" w:hAnsi="Georgia" w:cs="Times New Roman"/>
          <w:sz w:val="24"/>
          <w:szCs w:val="24"/>
          <w:lang w:eastAsia="ru-RU"/>
        </w:rPr>
        <w:t>прикладываются :</w:t>
      </w:r>
      <w:proofErr w:type="gramEnd"/>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-копии сертификатов соответствия на электрооборудование;</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-технические паспорта оборудования;</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-копии разделов проектной документации (если в соответствии с законодательством РФ градостроительной деятельности требуется разработка проекта и ранее проектная документация не предоставлялась).</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lastRenderedPageBreak/>
        <w:t>4 ШАГ – ПРОВЕРКА ВЫПОЛНЕНИЯ ТУ</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Специалисты сетевой компании согласовывают время проверки выполнения Технических условий и осмотра ЭПУ. Если при проверке выявляются несоответствия, сетевая организация предоставляет информацию об обнаруженных нарушениях и рекомендации по их устранению.</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Если работы Заявителем проведены в соответствии с техническими условиями, ему выдаются:</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акт осмотра (обследования) электроустановок;</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акт о выполнении ТУ, согласованный с соответствующим субъектом оперативно-диспетчерского управления.</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xml:space="preserve">В случаях осуществления ТП к электрическим сетям классом напряжения до 10 </w:t>
      </w:r>
      <w:proofErr w:type="spellStart"/>
      <w:r w:rsidRPr="00533929">
        <w:rPr>
          <w:rFonts w:ascii="Georgia" w:eastAsia="Times New Roman" w:hAnsi="Georgia" w:cs="Times New Roman"/>
          <w:sz w:val="24"/>
          <w:szCs w:val="24"/>
          <w:lang w:eastAsia="ru-RU"/>
        </w:rPr>
        <w:t>кВ</w:t>
      </w:r>
      <w:proofErr w:type="spellEnd"/>
      <w:r w:rsidRPr="00533929">
        <w:rPr>
          <w:rFonts w:ascii="Georgia" w:eastAsia="Times New Roman" w:hAnsi="Georgia" w:cs="Times New Roman"/>
          <w:sz w:val="24"/>
          <w:szCs w:val="24"/>
          <w:lang w:eastAsia="ru-RU"/>
        </w:rPr>
        <w:t xml:space="preserve"> включительно Заявителю с максимальной мощностью от 150 до 670 кВт </w:t>
      </w:r>
      <w:r w:rsidR="008C04E8" w:rsidRPr="00533929">
        <w:rPr>
          <w:rFonts w:ascii="Georgia" w:eastAsia="Times New Roman" w:hAnsi="Georgia" w:cs="Times New Roman"/>
          <w:sz w:val="24"/>
          <w:szCs w:val="24"/>
          <w:lang w:eastAsia="ru-RU"/>
        </w:rPr>
        <w:t xml:space="preserve">                     </w:t>
      </w:r>
      <w:proofErr w:type="gramStart"/>
      <w:r w:rsidR="008C04E8" w:rsidRPr="00533929">
        <w:rPr>
          <w:rFonts w:ascii="Georgia" w:eastAsia="Times New Roman" w:hAnsi="Georgia" w:cs="Times New Roman"/>
          <w:sz w:val="24"/>
          <w:szCs w:val="24"/>
          <w:lang w:eastAsia="ru-RU"/>
        </w:rPr>
        <w:t xml:space="preserve">   (</w:t>
      </w:r>
      <w:proofErr w:type="gramEnd"/>
      <w:r w:rsidRPr="00533929">
        <w:rPr>
          <w:rFonts w:ascii="Georgia" w:eastAsia="Times New Roman" w:hAnsi="Georgia" w:cs="Times New Roman"/>
          <w:sz w:val="24"/>
          <w:szCs w:val="24"/>
          <w:lang w:eastAsia="ru-RU"/>
        </w:rPr>
        <w:t>по одному источнику электроснабжения ) необходимо в течение 5 дней со дня подписания акта осмотра направить в орган федерального государственного энергетического надзора уведомление о проведении сетевой организацией осмотра электроустановки заявителя </w:t>
      </w:r>
      <w:r w:rsidRPr="00533929">
        <w:rPr>
          <w:rFonts w:ascii="Georgia" w:eastAsia="Times New Roman" w:hAnsi="Georgia" w:cs="Times New Roman"/>
          <w:i/>
          <w:iCs/>
          <w:sz w:val="24"/>
          <w:szCs w:val="24"/>
          <w:bdr w:val="none" w:sz="0" w:space="0" w:color="auto" w:frame="1"/>
          <w:lang w:eastAsia="ru-RU"/>
        </w:rPr>
        <w:t>(содержание информации в уведомлении определено законодательством РФ).</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Сетевая организация осуществляет фактическую подачу электроэнергии на ЭПУ Заявителя.</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После получения от сетевой организации актов Заявитель должен подписать их и возвратить по 1 экземпляру в сетевую организацию:</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акт об осуществлении технологического присоединения;</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акт разграничения границ балансовой принадлежности;</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акт эксплуатационной ответственности сторон.</w:t>
      </w:r>
    </w:p>
    <w:p w:rsidR="00C9375C" w:rsidRPr="00533929" w:rsidRDefault="00C9375C" w:rsidP="00C9375C">
      <w:pPr>
        <w:spacing w:after="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b/>
          <w:bCs/>
          <w:sz w:val="24"/>
          <w:szCs w:val="24"/>
          <w:bdr w:val="none" w:sz="0" w:space="0" w:color="auto" w:frame="1"/>
          <w:lang w:eastAsia="ru-RU"/>
        </w:rPr>
        <w:t>5 ШАГ – ЗАКЛЮЧЕНИЕ ДОГОВОРА ЭНЕРГОСНАБЖЕНИЯ</w:t>
      </w:r>
    </w:p>
    <w:p w:rsidR="008C04E8" w:rsidRPr="00533929" w:rsidRDefault="008C04E8" w:rsidP="00C9375C">
      <w:pPr>
        <w:spacing w:after="360" w:line="240" w:lineRule="auto"/>
        <w:textAlignment w:val="baseline"/>
        <w:rPr>
          <w:rFonts w:ascii="Georgia" w:eastAsia="Times New Roman" w:hAnsi="Georgia" w:cs="Times New Roman"/>
          <w:sz w:val="24"/>
          <w:szCs w:val="24"/>
          <w:lang w:eastAsia="ru-RU"/>
        </w:rPr>
      </w:pP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Для начала электроснабжения Заявителю необходимо:</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xml:space="preserve">- заключить договор энергоснабжения с </w:t>
      </w:r>
      <w:proofErr w:type="spellStart"/>
      <w:r w:rsidRPr="00533929">
        <w:rPr>
          <w:rFonts w:ascii="Georgia" w:eastAsia="Times New Roman" w:hAnsi="Georgia" w:cs="Times New Roman"/>
          <w:sz w:val="24"/>
          <w:szCs w:val="24"/>
          <w:lang w:eastAsia="ru-RU"/>
        </w:rPr>
        <w:t>энергосбытовой</w:t>
      </w:r>
      <w:proofErr w:type="spellEnd"/>
      <w:r w:rsidRPr="00533929">
        <w:rPr>
          <w:rFonts w:ascii="Georgia" w:eastAsia="Times New Roman" w:hAnsi="Georgia" w:cs="Times New Roman"/>
          <w:sz w:val="24"/>
          <w:szCs w:val="24"/>
          <w:lang w:eastAsia="ru-RU"/>
        </w:rPr>
        <w:t xml:space="preserve"> организацией, в соответствии с которым </w:t>
      </w:r>
      <w:proofErr w:type="spellStart"/>
      <w:r w:rsidRPr="00533929">
        <w:rPr>
          <w:rFonts w:ascii="Georgia" w:eastAsia="Times New Roman" w:hAnsi="Georgia" w:cs="Times New Roman"/>
          <w:sz w:val="24"/>
          <w:szCs w:val="24"/>
          <w:lang w:eastAsia="ru-RU"/>
        </w:rPr>
        <w:t>энергосбытовая</w:t>
      </w:r>
      <w:proofErr w:type="spellEnd"/>
      <w:r w:rsidRPr="00533929">
        <w:rPr>
          <w:rFonts w:ascii="Georgia" w:eastAsia="Times New Roman" w:hAnsi="Georgia" w:cs="Times New Roman"/>
          <w:sz w:val="24"/>
          <w:szCs w:val="24"/>
          <w:lang w:eastAsia="ru-RU"/>
        </w:rPr>
        <w:t xml:space="preserve"> компания обязана урегулировать вопросы по передаче электроэнергии с сетевой компанией в интересах потребителя.</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Или</w:t>
      </w:r>
    </w:p>
    <w:p w:rsidR="00C9375C" w:rsidRPr="00533929" w:rsidRDefault="00C9375C" w:rsidP="00C9375C">
      <w:pPr>
        <w:spacing w:after="360" w:line="240" w:lineRule="auto"/>
        <w:textAlignment w:val="baseline"/>
        <w:rPr>
          <w:rFonts w:ascii="Georgia" w:eastAsia="Times New Roman" w:hAnsi="Georgia" w:cs="Times New Roman"/>
          <w:sz w:val="24"/>
          <w:szCs w:val="24"/>
          <w:lang w:eastAsia="ru-RU"/>
        </w:rPr>
      </w:pPr>
      <w:r w:rsidRPr="00533929">
        <w:rPr>
          <w:rFonts w:ascii="Georgia" w:eastAsia="Times New Roman" w:hAnsi="Georgia" w:cs="Times New Roman"/>
          <w:sz w:val="24"/>
          <w:szCs w:val="24"/>
          <w:lang w:eastAsia="ru-RU"/>
        </w:rPr>
        <w:t xml:space="preserve">- заключить договор оказания услуг по передаче электрической энергии с сетевой организацией и договор купли-продажи электроэнергии с </w:t>
      </w:r>
      <w:proofErr w:type="spellStart"/>
      <w:r w:rsidRPr="00533929">
        <w:rPr>
          <w:rFonts w:ascii="Georgia" w:eastAsia="Times New Roman" w:hAnsi="Georgia" w:cs="Times New Roman"/>
          <w:sz w:val="24"/>
          <w:szCs w:val="24"/>
          <w:lang w:eastAsia="ru-RU"/>
        </w:rPr>
        <w:t>энергосбытовой</w:t>
      </w:r>
      <w:proofErr w:type="spellEnd"/>
      <w:r w:rsidRPr="00533929">
        <w:rPr>
          <w:rFonts w:ascii="Georgia" w:eastAsia="Times New Roman" w:hAnsi="Georgia" w:cs="Times New Roman"/>
          <w:sz w:val="24"/>
          <w:szCs w:val="24"/>
          <w:lang w:eastAsia="ru-RU"/>
        </w:rPr>
        <w:t xml:space="preserve"> организацией</w:t>
      </w:r>
    </w:p>
    <w:p w:rsidR="00F13BC0" w:rsidRPr="00533929" w:rsidRDefault="00F13BC0" w:rsidP="00653A9D"/>
    <w:sectPr w:rsidR="00F13BC0" w:rsidRPr="00533929" w:rsidSect="00701DD9">
      <w:pgSz w:w="11906" w:h="16838"/>
      <w:pgMar w:top="1134"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B660162"/>
    <w:multiLevelType w:val="multilevel"/>
    <w:tmpl w:val="0714F66E"/>
    <w:lvl w:ilvl="0">
      <w:start w:val="1"/>
      <w:numFmt w:val="decimal"/>
      <w:lvlText w:val="%1."/>
      <w:lvlJc w:val="left"/>
      <w:pPr>
        <w:ind w:left="928"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 w15:restartNumberingAfterBreak="0">
    <w:nsid w:val="6E422E3A"/>
    <w:multiLevelType w:val="multilevel"/>
    <w:tmpl w:val="6874BEF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7C062F8"/>
    <w:multiLevelType w:val="multilevel"/>
    <w:tmpl w:val="3468E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39C3"/>
    <w:rsid w:val="001F2469"/>
    <w:rsid w:val="004139C3"/>
    <w:rsid w:val="00533929"/>
    <w:rsid w:val="00653A9D"/>
    <w:rsid w:val="00701DD9"/>
    <w:rsid w:val="008C04E8"/>
    <w:rsid w:val="00C9375C"/>
    <w:rsid w:val="00F13B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DCAD3D0-0E28-4A1D-B469-EF518C58B1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139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53392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622138">
      <w:bodyDiv w:val="1"/>
      <w:marLeft w:val="0"/>
      <w:marRight w:val="0"/>
      <w:marTop w:val="0"/>
      <w:marBottom w:val="0"/>
      <w:divBdr>
        <w:top w:val="none" w:sz="0" w:space="0" w:color="auto"/>
        <w:left w:val="none" w:sz="0" w:space="0" w:color="auto"/>
        <w:bottom w:val="none" w:sz="0" w:space="0" w:color="auto"/>
        <w:right w:val="none" w:sz="0" w:space="0" w:color="auto"/>
      </w:divBdr>
    </w:div>
    <w:div w:id="682972234">
      <w:bodyDiv w:val="1"/>
      <w:marLeft w:val="0"/>
      <w:marRight w:val="0"/>
      <w:marTop w:val="0"/>
      <w:marBottom w:val="0"/>
      <w:divBdr>
        <w:top w:val="none" w:sz="0" w:space="0" w:color="auto"/>
        <w:left w:val="none" w:sz="0" w:space="0" w:color="auto"/>
        <w:bottom w:val="none" w:sz="0" w:space="0" w:color="auto"/>
        <w:right w:val="none" w:sz="0" w:space="0" w:color="auto"/>
      </w:divBdr>
      <w:divsChild>
        <w:div w:id="11142508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tp.mrsk-cp.ru/upload/iblock/022/0224174044095a509a7a82105cdf015b.rtf" TargetMode="External"/><Relationship Id="rId13" Type="http://schemas.openxmlformats.org/officeDocument/2006/relationships/image" Target="media/image3.emf"/><Relationship Id="rId3" Type="http://schemas.openxmlformats.org/officeDocument/2006/relationships/settings" Target="settings.xml"/><Relationship Id="rId7" Type="http://schemas.openxmlformats.org/officeDocument/2006/relationships/hyperlink" Target="http://tp.mrsk-cp.ru/upload/iblock/34e/34e0838b0a079298136030eee44c6a95.rtf" TargetMode="External"/><Relationship Id="rId12" Type="http://schemas.openxmlformats.org/officeDocument/2006/relationships/image" Target="media/image2.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tp.mrsk-cp.ru/upload/iblock/2e0/2e001b16d6d0b3bfaacdb96171929897.rtf" TargetMode="External"/><Relationship Id="rId11" Type="http://schemas.openxmlformats.org/officeDocument/2006/relationships/image" Target="media/image1.emf"/><Relationship Id="rId5" Type="http://schemas.openxmlformats.org/officeDocument/2006/relationships/hyperlink" Target="http://tp.mrsk-cp.ru/upload/iblock/58a/58ac07a19c5e5c5a67cb80787dd84439.rtf" TargetMode="External"/><Relationship Id="rId15" Type="http://schemas.openxmlformats.org/officeDocument/2006/relationships/theme" Target="theme/theme1.xml"/><Relationship Id="rId10" Type="http://schemas.openxmlformats.org/officeDocument/2006/relationships/hyperlink" Target="http://tp.mrsk-cp.ru/upload/iblock/f66/f66fd85332ca039521fd04ec3d341bb6.docx" TargetMode="External"/><Relationship Id="rId4" Type="http://schemas.openxmlformats.org/officeDocument/2006/relationships/webSettings" Target="webSettings.xml"/><Relationship Id="rId9" Type="http://schemas.openxmlformats.org/officeDocument/2006/relationships/hyperlink" Target="http://tp.mrsk-cp.ru/upload/iblock/440/440dae7e9bce655bca6aebe3fc1f29cb.rtf"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1999</Words>
  <Characters>11395</Characters>
  <Application>Microsoft Office Word</Application>
  <DocSecurity>0</DocSecurity>
  <Lines>94</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cp:lastModifiedBy>
  <cp:revision>2</cp:revision>
  <dcterms:created xsi:type="dcterms:W3CDTF">2022-10-14T19:23:00Z</dcterms:created>
  <dcterms:modified xsi:type="dcterms:W3CDTF">2022-10-14T19:23:00Z</dcterms:modified>
</cp:coreProperties>
</file>