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9A" w:rsidRDefault="008B0C60" w:rsidP="00804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C60">
        <w:rPr>
          <w:rFonts w:ascii="Times New Roman" w:hAnsi="Times New Roman" w:cs="Times New Roman"/>
          <w:b/>
          <w:sz w:val="28"/>
          <w:szCs w:val="28"/>
        </w:rPr>
        <w:t>Пояснительная записка о результатах реализации программы энергосбережения и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энергоэффетивности </w:t>
      </w:r>
      <w:r w:rsidR="00895E5C">
        <w:rPr>
          <w:rFonts w:ascii="Times New Roman" w:hAnsi="Times New Roman" w:cs="Times New Roman"/>
          <w:b/>
          <w:sz w:val="28"/>
          <w:szCs w:val="28"/>
        </w:rPr>
        <w:t>за 202</w:t>
      </w:r>
      <w:r w:rsidR="009D6B9F">
        <w:rPr>
          <w:rFonts w:ascii="Times New Roman" w:hAnsi="Times New Roman" w:cs="Times New Roman"/>
          <w:b/>
          <w:sz w:val="28"/>
          <w:szCs w:val="28"/>
        </w:rPr>
        <w:t>2</w:t>
      </w:r>
      <w:r w:rsidR="00895E5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50648" w:rsidRDefault="009D6B9F" w:rsidP="00E60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0C60">
        <w:rPr>
          <w:rFonts w:ascii="Times New Roman" w:hAnsi="Times New Roman" w:cs="Times New Roman"/>
          <w:sz w:val="28"/>
          <w:szCs w:val="28"/>
        </w:rPr>
        <w:t xml:space="preserve">сновного адреса. Юридический адрес ООО «Энерготранзит»: </w:t>
      </w:r>
      <w:r w:rsidR="008B0C60" w:rsidRPr="00E607E4">
        <w:rPr>
          <w:rFonts w:ascii="Times New Roman" w:hAnsi="Times New Roman" w:cs="Times New Roman"/>
          <w:b/>
          <w:sz w:val="28"/>
          <w:szCs w:val="28"/>
        </w:rPr>
        <w:t>42</w:t>
      </w:r>
      <w:r w:rsidR="00E607E4">
        <w:rPr>
          <w:rFonts w:ascii="Times New Roman" w:hAnsi="Times New Roman" w:cs="Times New Roman"/>
          <w:b/>
          <w:sz w:val="28"/>
          <w:szCs w:val="28"/>
        </w:rPr>
        <w:t>0124, Республика Татарстан, г. К</w:t>
      </w:r>
      <w:r w:rsidR="008B0C60" w:rsidRPr="00E607E4">
        <w:rPr>
          <w:rFonts w:ascii="Times New Roman" w:hAnsi="Times New Roman" w:cs="Times New Roman"/>
          <w:b/>
          <w:sz w:val="28"/>
          <w:szCs w:val="28"/>
        </w:rPr>
        <w:t>азань, улица Меридианная, д.1 помещение 16.</w:t>
      </w:r>
      <w:r w:rsidR="008B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FF" w:rsidRDefault="005E51FF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1FF">
        <w:rPr>
          <w:rFonts w:ascii="Times New Roman" w:hAnsi="Times New Roman" w:cs="Times New Roman"/>
          <w:sz w:val="28"/>
          <w:szCs w:val="28"/>
        </w:rPr>
        <w:t>Оказание услуг по передаче электрической энергии по своим сетям является основным видом экономической деятельности данной организации. В соответствии с требованиями действующего законодательства осуществляется раздельный учет расходов по регулируемому виду деятельности – услуги по передаче электрической энергии, а также по технологическому присоединению.</w:t>
      </w:r>
    </w:p>
    <w:p w:rsidR="005E51FF" w:rsidRDefault="00AC4545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«Энерготранзит» арендует помещение под офис</w:t>
      </w:r>
      <w:r w:rsidR="000013FD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4545" w:rsidRDefault="000013FD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Казань, ул Ш.Усманова д.28а, офис площадью </w:t>
      </w:r>
      <w:r w:rsidR="00442FD9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013FD" w:rsidRDefault="000013FD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Казань,</w:t>
      </w:r>
      <w:r w:rsidRPr="000013FD">
        <w:t xml:space="preserve"> </w:t>
      </w:r>
      <w:r w:rsidRPr="000013FD">
        <w:rPr>
          <w:rFonts w:ascii="Times New Roman" w:hAnsi="Times New Roman" w:cs="Times New Roman"/>
          <w:sz w:val="28"/>
          <w:szCs w:val="28"/>
        </w:rPr>
        <w:t xml:space="preserve">ул Ш.Усманова д.28а </w:t>
      </w:r>
      <w:r>
        <w:rPr>
          <w:rFonts w:ascii="Times New Roman" w:hAnsi="Times New Roman" w:cs="Times New Roman"/>
          <w:sz w:val="28"/>
          <w:szCs w:val="28"/>
        </w:rPr>
        <w:t>блок 2,</w:t>
      </w:r>
      <w:r w:rsidRPr="000013FD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60,8 кв.</w:t>
      </w:r>
      <w:r w:rsidRPr="000013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FD" w:rsidRDefault="000013FD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Казань, ул. Меридианная д.1, площадью 5 кв.м.</w:t>
      </w:r>
    </w:p>
    <w:p w:rsidR="000013FD" w:rsidRDefault="001F7DF7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3FD">
        <w:rPr>
          <w:rFonts w:ascii="Times New Roman" w:hAnsi="Times New Roman" w:cs="Times New Roman"/>
          <w:sz w:val="28"/>
          <w:szCs w:val="28"/>
        </w:rPr>
        <w:t>пецтехника в организации отсутствует.</w:t>
      </w:r>
    </w:p>
    <w:p w:rsidR="00E7468F" w:rsidRPr="00294C74" w:rsidRDefault="00E7468F" w:rsidP="005E5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2FD">
        <w:rPr>
          <w:rFonts w:ascii="Times New Roman" w:hAnsi="Times New Roman" w:cs="Times New Roman"/>
          <w:sz w:val="28"/>
          <w:szCs w:val="28"/>
        </w:rPr>
        <w:t>ООО «Энерготранзит» в 202</w:t>
      </w:r>
      <w:r w:rsidR="009D6B9F" w:rsidRPr="00A212FD">
        <w:rPr>
          <w:rFonts w:ascii="Times New Roman" w:hAnsi="Times New Roman" w:cs="Times New Roman"/>
          <w:sz w:val="28"/>
          <w:szCs w:val="28"/>
        </w:rPr>
        <w:t>2</w:t>
      </w:r>
      <w:r w:rsidRPr="00A212FD">
        <w:rPr>
          <w:rFonts w:ascii="Times New Roman" w:hAnsi="Times New Roman" w:cs="Times New Roman"/>
          <w:sz w:val="28"/>
          <w:szCs w:val="28"/>
        </w:rPr>
        <w:t xml:space="preserve"> года осуществил ввод в эксплуатацию энергообъектов в соответствии с осуществлением технологического присоединения к электрическим сетям по договорам от </w:t>
      </w:r>
      <w:r w:rsidR="00D40238" w:rsidRPr="00D40238">
        <w:rPr>
          <w:rFonts w:ascii="Times New Roman" w:hAnsi="Times New Roman" w:cs="Times New Roman"/>
          <w:sz w:val="28"/>
          <w:szCs w:val="28"/>
        </w:rPr>
        <w:t>09</w:t>
      </w:r>
      <w:r w:rsidRPr="00D40238">
        <w:rPr>
          <w:rFonts w:ascii="Times New Roman" w:hAnsi="Times New Roman" w:cs="Times New Roman"/>
          <w:sz w:val="28"/>
          <w:szCs w:val="28"/>
        </w:rPr>
        <w:t xml:space="preserve">.12.2019 </w:t>
      </w:r>
      <w:r w:rsidRPr="00A212FD">
        <w:rPr>
          <w:rFonts w:ascii="Times New Roman" w:hAnsi="Times New Roman" w:cs="Times New Roman"/>
          <w:sz w:val="28"/>
          <w:szCs w:val="28"/>
        </w:rPr>
        <w:t>№</w:t>
      </w:r>
      <w:r w:rsidR="00442FD9" w:rsidRPr="00A212FD">
        <w:rPr>
          <w:rFonts w:ascii="Times New Roman" w:hAnsi="Times New Roman" w:cs="Times New Roman"/>
          <w:sz w:val="28"/>
          <w:szCs w:val="28"/>
        </w:rPr>
        <w:t>136</w:t>
      </w:r>
      <w:r w:rsidRPr="00A212FD">
        <w:rPr>
          <w:rFonts w:ascii="Times New Roman" w:hAnsi="Times New Roman" w:cs="Times New Roman"/>
          <w:sz w:val="28"/>
          <w:szCs w:val="28"/>
        </w:rPr>
        <w:t>/ТП/</w:t>
      </w:r>
      <w:r w:rsidRPr="00294C74">
        <w:rPr>
          <w:rFonts w:ascii="Times New Roman" w:hAnsi="Times New Roman" w:cs="Times New Roman"/>
          <w:sz w:val="28"/>
          <w:szCs w:val="28"/>
        </w:rPr>
        <w:t>20</w:t>
      </w:r>
      <w:r w:rsidR="00442FD9" w:rsidRPr="00294C74">
        <w:rPr>
          <w:rFonts w:ascii="Times New Roman" w:hAnsi="Times New Roman" w:cs="Times New Roman"/>
          <w:sz w:val="28"/>
          <w:szCs w:val="28"/>
        </w:rPr>
        <w:t>19</w:t>
      </w:r>
      <w:r w:rsidRPr="00294C74">
        <w:rPr>
          <w:rFonts w:ascii="Times New Roman" w:hAnsi="Times New Roman" w:cs="Times New Roman"/>
          <w:sz w:val="28"/>
          <w:szCs w:val="28"/>
        </w:rPr>
        <w:t xml:space="preserve"> и от </w:t>
      </w:r>
      <w:r w:rsidR="00294C74" w:rsidRPr="00294C74">
        <w:rPr>
          <w:rFonts w:ascii="Times New Roman" w:hAnsi="Times New Roman" w:cs="Times New Roman"/>
          <w:sz w:val="28"/>
          <w:szCs w:val="28"/>
        </w:rPr>
        <w:t>07</w:t>
      </w:r>
      <w:r w:rsidRPr="00294C74">
        <w:rPr>
          <w:rFonts w:ascii="Times New Roman" w:hAnsi="Times New Roman" w:cs="Times New Roman"/>
          <w:sz w:val="28"/>
          <w:szCs w:val="28"/>
        </w:rPr>
        <w:t>.</w:t>
      </w:r>
      <w:r w:rsidR="00294C74" w:rsidRPr="00294C74">
        <w:rPr>
          <w:rFonts w:ascii="Times New Roman" w:hAnsi="Times New Roman" w:cs="Times New Roman"/>
          <w:sz w:val="28"/>
          <w:szCs w:val="28"/>
        </w:rPr>
        <w:t>07</w:t>
      </w:r>
      <w:r w:rsidRPr="00294C74">
        <w:rPr>
          <w:rFonts w:ascii="Times New Roman" w:hAnsi="Times New Roman" w:cs="Times New Roman"/>
          <w:sz w:val="28"/>
          <w:szCs w:val="28"/>
        </w:rPr>
        <w:t>.202</w:t>
      </w:r>
      <w:r w:rsidR="00294C74" w:rsidRPr="00294C74">
        <w:rPr>
          <w:rFonts w:ascii="Times New Roman" w:hAnsi="Times New Roman" w:cs="Times New Roman"/>
          <w:sz w:val="28"/>
          <w:szCs w:val="28"/>
        </w:rPr>
        <w:t>1</w:t>
      </w:r>
      <w:r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Pr="00A212FD">
        <w:rPr>
          <w:rFonts w:ascii="Times New Roman" w:hAnsi="Times New Roman" w:cs="Times New Roman"/>
          <w:sz w:val="28"/>
          <w:szCs w:val="28"/>
        </w:rPr>
        <w:t>№</w:t>
      </w:r>
      <w:r w:rsidR="00442FD9" w:rsidRPr="00A212FD">
        <w:rPr>
          <w:rFonts w:ascii="Times New Roman" w:hAnsi="Times New Roman" w:cs="Times New Roman"/>
          <w:sz w:val="28"/>
          <w:szCs w:val="28"/>
        </w:rPr>
        <w:t>23</w:t>
      </w:r>
      <w:r w:rsidRPr="00A212FD">
        <w:rPr>
          <w:rFonts w:ascii="Times New Roman" w:hAnsi="Times New Roman" w:cs="Times New Roman"/>
          <w:sz w:val="28"/>
          <w:szCs w:val="28"/>
        </w:rPr>
        <w:t>/ТП/202</w:t>
      </w:r>
      <w:r w:rsidR="00442FD9" w:rsidRPr="00A212FD">
        <w:rPr>
          <w:rFonts w:ascii="Times New Roman" w:hAnsi="Times New Roman" w:cs="Times New Roman"/>
          <w:sz w:val="28"/>
          <w:szCs w:val="28"/>
        </w:rPr>
        <w:t>1</w:t>
      </w:r>
      <w:r w:rsidR="00294C74">
        <w:rPr>
          <w:rFonts w:ascii="Times New Roman" w:hAnsi="Times New Roman" w:cs="Times New Roman"/>
          <w:sz w:val="28"/>
          <w:szCs w:val="28"/>
        </w:rPr>
        <w:t xml:space="preserve">, </w:t>
      </w:r>
      <w:r w:rsidRPr="00D40238">
        <w:rPr>
          <w:rFonts w:ascii="Times New Roman" w:hAnsi="Times New Roman" w:cs="Times New Roman"/>
          <w:sz w:val="28"/>
          <w:szCs w:val="28"/>
        </w:rPr>
        <w:t>от 10.0</w:t>
      </w:r>
      <w:r w:rsidR="00D40238" w:rsidRPr="00D40238">
        <w:rPr>
          <w:rFonts w:ascii="Times New Roman" w:hAnsi="Times New Roman" w:cs="Times New Roman"/>
          <w:sz w:val="28"/>
          <w:szCs w:val="28"/>
        </w:rPr>
        <w:t>2</w:t>
      </w:r>
      <w:r w:rsidRPr="00D40238">
        <w:rPr>
          <w:rFonts w:ascii="Times New Roman" w:hAnsi="Times New Roman" w:cs="Times New Roman"/>
          <w:sz w:val="28"/>
          <w:szCs w:val="28"/>
        </w:rPr>
        <w:t>.202</w:t>
      </w:r>
      <w:r w:rsidR="00D40238" w:rsidRPr="00D40238">
        <w:rPr>
          <w:rFonts w:ascii="Times New Roman" w:hAnsi="Times New Roman" w:cs="Times New Roman"/>
          <w:sz w:val="28"/>
          <w:szCs w:val="28"/>
        </w:rPr>
        <w:t>2</w:t>
      </w:r>
      <w:r w:rsidRPr="00D40238">
        <w:rPr>
          <w:rFonts w:ascii="Times New Roman" w:hAnsi="Times New Roman" w:cs="Times New Roman"/>
          <w:sz w:val="28"/>
          <w:szCs w:val="28"/>
        </w:rPr>
        <w:t xml:space="preserve"> </w:t>
      </w:r>
      <w:r w:rsidRPr="00A212FD">
        <w:rPr>
          <w:rFonts w:ascii="Times New Roman" w:hAnsi="Times New Roman" w:cs="Times New Roman"/>
          <w:sz w:val="28"/>
          <w:szCs w:val="28"/>
        </w:rPr>
        <w:t xml:space="preserve">№ </w:t>
      </w:r>
      <w:r w:rsidR="00442FD9" w:rsidRPr="00A212FD">
        <w:rPr>
          <w:rFonts w:ascii="Times New Roman" w:hAnsi="Times New Roman" w:cs="Times New Roman"/>
          <w:sz w:val="28"/>
          <w:szCs w:val="28"/>
        </w:rPr>
        <w:t>46</w:t>
      </w:r>
      <w:r w:rsidRPr="00A212FD">
        <w:rPr>
          <w:rFonts w:ascii="Times New Roman" w:hAnsi="Times New Roman" w:cs="Times New Roman"/>
          <w:sz w:val="28"/>
          <w:szCs w:val="28"/>
        </w:rPr>
        <w:t>/ТП/202</w:t>
      </w:r>
      <w:r w:rsidR="00442FD9" w:rsidRPr="00A212FD">
        <w:rPr>
          <w:rFonts w:ascii="Times New Roman" w:hAnsi="Times New Roman" w:cs="Times New Roman"/>
          <w:sz w:val="28"/>
          <w:szCs w:val="28"/>
        </w:rPr>
        <w:t>2</w:t>
      </w:r>
      <w:r w:rsidRPr="00A212FD">
        <w:rPr>
          <w:rFonts w:ascii="Times New Roman" w:hAnsi="Times New Roman" w:cs="Times New Roman"/>
          <w:sz w:val="28"/>
          <w:szCs w:val="28"/>
        </w:rPr>
        <w:t xml:space="preserve"> </w:t>
      </w:r>
      <w:r w:rsidRPr="00D40238">
        <w:rPr>
          <w:rFonts w:ascii="Times New Roman" w:hAnsi="Times New Roman" w:cs="Times New Roman"/>
          <w:sz w:val="28"/>
          <w:szCs w:val="28"/>
        </w:rPr>
        <w:t xml:space="preserve">и от </w:t>
      </w:r>
      <w:r w:rsidRPr="00294C74">
        <w:rPr>
          <w:rFonts w:ascii="Times New Roman" w:hAnsi="Times New Roman" w:cs="Times New Roman"/>
          <w:sz w:val="28"/>
          <w:szCs w:val="28"/>
        </w:rPr>
        <w:t>2</w:t>
      </w:r>
      <w:r w:rsidR="00D40238" w:rsidRPr="00294C74">
        <w:rPr>
          <w:rFonts w:ascii="Times New Roman" w:hAnsi="Times New Roman" w:cs="Times New Roman"/>
          <w:sz w:val="28"/>
          <w:szCs w:val="28"/>
        </w:rPr>
        <w:t>4</w:t>
      </w:r>
      <w:r w:rsidRPr="00294C74">
        <w:rPr>
          <w:rFonts w:ascii="Times New Roman" w:hAnsi="Times New Roman" w:cs="Times New Roman"/>
          <w:sz w:val="28"/>
          <w:szCs w:val="28"/>
        </w:rPr>
        <w:t>.0</w:t>
      </w:r>
      <w:r w:rsidR="00D40238" w:rsidRPr="00294C74">
        <w:rPr>
          <w:rFonts w:ascii="Times New Roman" w:hAnsi="Times New Roman" w:cs="Times New Roman"/>
          <w:sz w:val="28"/>
          <w:szCs w:val="28"/>
        </w:rPr>
        <w:t>6</w:t>
      </w:r>
      <w:r w:rsidRPr="00294C74">
        <w:rPr>
          <w:rFonts w:ascii="Times New Roman" w:hAnsi="Times New Roman" w:cs="Times New Roman"/>
          <w:sz w:val="28"/>
          <w:szCs w:val="28"/>
        </w:rPr>
        <w:t>.202</w:t>
      </w:r>
      <w:r w:rsidR="00D40238" w:rsidRPr="00294C74">
        <w:rPr>
          <w:rFonts w:ascii="Times New Roman" w:hAnsi="Times New Roman" w:cs="Times New Roman"/>
          <w:sz w:val="28"/>
          <w:szCs w:val="28"/>
        </w:rPr>
        <w:t>2</w:t>
      </w:r>
      <w:r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Pr="00A212FD">
        <w:rPr>
          <w:rFonts w:ascii="Times New Roman" w:hAnsi="Times New Roman" w:cs="Times New Roman"/>
          <w:sz w:val="28"/>
          <w:szCs w:val="28"/>
        </w:rPr>
        <w:t>№</w:t>
      </w:r>
      <w:r w:rsidR="00442FD9" w:rsidRPr="00A212FD">
        <w:rPr>
          <w:rFonts w:ascii="Times New Roman" w:hAnsi="Times New Roman" w:cs="Times New Roman"/>
          <w:sz w:val="28"/>
          <w:szCs w:val="28"/>
        </w:rPr>
        <w:t>6</w:t>
      </w:r>
      <w:r w:rsidRPr="00A212FD">
        <w:rPr>
          <w:rFonts w:ascii="Times New Roman" w:hAnsi="Times New Roman" w:cs="Times New Roman"/>
          <w:sz w:val="28"/>
          <w:szCs w:val="28"/>
        </w:rPr>
        <w:t>3/ТП/202</w:t>
      </w:r>
      <w:r w:rsidR="00442FD9" w:rsidRPr="00A212FD">
        <w:rPr>
          <w:rFonts w:ascii="Times New Roman" w:hAnsi="Times New Roman" w:cs="Times New Roman"/>
          <w:sz w:val="28"/>
          <w:szCs w:val="28"/>
        </w:rPr>
        <w:t>2</w:t>
      </w:r>
      <w:r w:rsidRPr="00294C74">
        <w:rPr>
          <w:rFonts w:ascii="Times New Roman" w:hAnsi="Times New Roman" w:cs="Times New Roman"/>
          <w:sz w:val="28"/>
          <w:szCs w:val="28"/>
        </w:rPr>
        <w:t xml:space="preserve">, от </w:t>
      </w:r>
      <w:r w:rsidR="00294C74" w:rsidRPr="00294C74">
        <w:rPr>
          <w:rFonts w:ascii="Times New Roman" w:hAnsi="Times New Roman" w:cs="Times New Roman"/>
          <w:sz w:val="28"/>
          <w:szCs w:val="28"/>
        </w:rPr>
        <w:t>10.02</w:t>
      </w:r>
      <w:r w:rsidRPr="00294C74">
        <w:rPr>
          <w:rFonts w:ascii="Times New Roman" w:hAnsi="Times New Roman" w:cs="Times New Roman"/>
          <w:sz w:val="28"/>
          <w:szCs w:val="28"/>
        </w:rPr>
        <w:t>.20</w:t>
      </w:r>
      <w:r w:rsidR="00294C74" w:rsidRPr="00294C74">
        <w:rPr>
          <w:rFonts w:ascii="Times New Roman" w:hAnsi="Times New Roman" w:cs="Times New Roman"/>
          <w:sz w:val="28"/>
          <w:szCs w:val="28"/>
        </w:rPr>
        <w:t>22</w:t>
      </w:r>
      <w:r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Pr="00A212FD">
        <w:rPr>
          <w:rFonts w:ascii="Times New Roman" w:hAnsi="Times New Roman" w:cs="Times New Roman"/>
          <w:sz w:val="28"/>
          <w:szCs w:val="28"/>
        </w:rPr>
        <w:t>№</w:t>
      </w:r>
      <w:r w:rsidR="00A212FD" w:rsidRPr="00A212FD">
        <w:rPr>
          <w:rFonts w:ascii="Times New Roman" w:hAnsi="Times New Roman" w:cs="Times New Roman"/>
          <w:sz w:val="28"/>
          <w:szCs w:val="28"/>
        </w:rPr>
        <w:t>47/ТП/2022</w:t>
      </w:r>
      <w:r w:rsidRPr="00294C74">
        <w:rPr>
          <w:rFonts w:ascii="Times New Roman" w:hAnsi="Times New Roman" w:cs="Times New Roman"/>
          <w:sz w:val="28"/>
          <w:szCs w:val="28"/>
        </w:rPr>
        <w:t>, от 27.</w:t>
      </w:r>
      <w:r w:rsidR="00294C74">
        <w:rPr>
          <w:rFonts w:ascii="Times New Roman" w:hAnsi="Times New Roman" w:cs="Times New Roman"/>
          <w:sz w:val="28"/>
          <w:szCs w:val="28"/>
        </w:rPr>
        <w:t>12</w:t>
      </w:r>
      <w:r w:rsidRPr="00294C74">
        <w:rPr>
          <w:rFonts w:ascii="Times New Roman" w:hAnsi="Times New Roman" w:cs="Times New Roman"/>
          <w:sz w:val="28"/>
          <w:szCs w:val="28"/>
        </w:rPr>
        <w:t>.20</w:t>
      </w:r>
      <w:r w:rsidR="00294C74">
        <w:rPr>
          <w:rFonts w:ascii="Times New Roman" w:hAnsi="Times New Roman" w:cs="Times New Roman"/>
          <w:sz w:val="28"/>
          <w:szCs w:val="28"/>
        </w:rPr>
        <w:t>20</w:t>
      </w:r>
      <w:r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Pr="00A212FD">
        <w:rPr>
          <w:rFonts w:ascii="Times New Roman" w:hAnsi="Times New Roman" w:cs="Times New Roman"/>
          <w:sz w:val="28"/>
          <w:szCs w:val="28"/>
        </w:rPr>
        <w:t>№1</w:t>
      </w:r>
      <w:r w:rsidR="00A212FD" w:rsidRPr="00A212FD">
        <w:rPr>
          <w:rFonts w:ascii="Times New Roman" w:hAnsi="Times New Roman" w:cs="Times New Roman"/>
          <w:sz w:val="28"/>
          <w:szCs w:val="28"/>
        </w:rPr>
        <w:t>70</w:t>
      </w:r>
      <w:r w:rsidRPr="00A212FD">
        <w:rPr>
          <w:rFonts w:ascii="Times New Roman" w:hAnsi="Times New Roman" w:cs="Times New Roman"/>
          <w:sz w:val="28"/>
          <w:szCs w:val="28"/>
        </w:rPr>
        <w:t>/ТП/20</w:t>
      </w:r>
      <w:r w:rsidR="00A212FD" w:rsidRPr="00A212FD">
        <w:rPr>
          <w:rFonts w:ascii="Times New Roman" w:hAnsi="Times New Roman" w:cs="Times New Roman"/>
          <w:sz w:val="28"/>
          <w:szCs w:val="28"/>
        </w:rPr>
        <w:t>20</w:t>
      </w:r>
      <w:r w:rsidR="00A212FD" w:rsidRPr="00294C74">
        <w:rPr>
          <w:rFonts w:ascii="Times New Roman" w:hAnsi="Times New Roman" w:cs="Times New Roman"/>
          <w:sz w:val="28"/>
          <w:szCs w:val="28"/>
        </w:rPr>
        <w:t>,</w:t>
      </w:r>
      <w:r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="00A212FD" w:rsidRPr="00294C74">
        <w:rPr>
          <w:rFonts w:ascii="Times New Roman" w:hAnsi="Times New Roman" w:cs="Times New Roman"/>
          <w:sz w:val="28"/>
          <w:szCs w:val="28"/>
        </w:rPr>
        <w:t xml:space="preserve">от </w:t>
      </w:r>
      <w:r w:rsidR="00294C74" w:rsidRPr="00294C74">
        <w:rPr>
          <w:rFonts w:ascii="Times New Roman" w:hAnsi="Times New Roman" w:cs="Times New Roman"/>
          <w:sz w:val="28"/>
          <w:szCs w:val="28"/>
        </w:rPr>
        <w:t>18</w:t>
      </w:r>
      <w:r w:rsidR="00A212FD" w:rsidRPr="00294C74">
        <w:rPr>
          <w:rFonts w:ascii="Times New Roman" w:hAnsi="Times New Roman" w:cs="Times New Roman"/>
          <w:sz w:val="28"/>
          <w:szCs w:val="28"/>
        </w:rPr>
        <w:t>.0</w:t>
      </w:r>
      <w:r w:rsidR="00294C74" w:rsidRPr="00294C74">
        <w:rPr>
          <w:rFonts w:ascii="Times New Roman" w:hAnsi="Times New Roman" w:cs="Times New Roman"/>
          <w:sz w:val="28"/>
          <w:szCs w:val="28"/>
        </w:rPr>
        <w:t>2</w:t>
      </w:r>
      <w:r w:rsidR="00A212FD" w:rsidRPr="00294C74">
        <w:rPr>
          <w:rFonts w:ascii="Times New Roman" w:hAnsi="Times New Roman" w:cs="Times New Roman"/>
          <w:sz w:val="28"/>
          <w:szCs w:val="28"/>
        </w:rPr>
        <w:t>.20</w:t>
      </w:r>
      <w:r w:rsidR="00294C74" w:rsidRPr="00294C74">
        <w:rPr>
          <w:rFonts w:ascii="Times New Roman" w:hAnsi="Times New Roman" w:cs="Times New Roman"/>
          <w:sz w:val="28"/>
          <w:szCs w:val="28"/>
        </w:rPr>
        <w:t>22</w:t>
      </w:r>
      <w:r w:rsidR="00A212FD"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="00A212FD" w:rsidRPr="00A212FD">
        <w:rPr>
          <w:rFonts w:ascii="Times New Roman" w:hAnsi="Times New Roman" w:cs="Times New Roman"/>
          <w:sz w:val="28"/>
          <w:szCs w:val="28"/>
        </w:rPr>
        <w:t>№48/ТП/2022</w:t>
      </w:r>
      <w:r w:rsidR="00A212FD" w:rsidRPr="00294C74">
        <w:rPr>
          <w:rFonts w:ascii="Times New Roman" w:hAnsi="Times New Roman" w:cs="Times New Roman"/>
          <w:sz w:val="28"/>
          <w:szCs w:val="28"/>
        </w:rPr>
        <w:t xml:space="preserve">, от </w:t>
      </w:r>
      <w:r w:rsidR="00294C74" w:rsidRPr="00294C74">
        <w:rPr>
          <w:rFonts w:ascii="Times New Roman" w:hAnsi="Times New Roman" w:cs="Times New Roman"/>
          <w:sz w:val="28"/>
          <w:szCs w:val="28"/>
        </w:rPr>
        <w:t>30</w:t>
      </w:r>
      <w:r w:rsidR="00A212FD" w:rsidRPr="00294C74">
        <w:rPr>
          <w:rFonts w:ascii="Times New Roman" w:hAnsi="Times New Roman" w:cs="Times New Roman"/>
          <w:sz w:val="28"/>
          <w:szCs w:val="28"/>
        </w:rPr>
        <w:t>.</w:t>
      </w:r>
      <w:r w:rsidR="00294C74" w:rsidRPr="00294C74">
        <w:rPr>
          <w:rFonts w:ascii="Times New Roman" w:hAnsi="Times New Roman" w:cs="Times New Roman"/>
          <w:sz w:val="28"/>
          <w:szCs w:val="28"/>
        </w:rPr>
        <w:t>11</w:t>
      </w:r>
      <w:r w:rsidR="00A212FD" w:rsidRPr="00294C74">
        <w:rPr>
          <w:rFonts w:ascii="Times New Roman" w:hAnsi="Times New Roman" w:cs="Times New Roman"/>
          <w:sz w:val="28"/>
          <w:szCs w:val="28"/>
        </w:rPr>
        <w:t>.20</w:t>
      </w:r>
      <w:r w:rsidR="00294C74" w:rsidRPr="00294C74">
        <w:rPr>
          <w:rFonts w:ascii="Times New Roman" w:hAnsi="Times New Roman" w:cs="Times New Roman"/>
          <w:sz w:val="28"/>
          <w:szCs w:val="28"/>
        </w:rPr>
        <w:t>21</w:t>
      </w:r>
      <w:r w:rsidR="00A212FD" w:rsidRPr="00294C74">
        <w:rPr>
          <w:rFonts w:ascii="Times New Roman" w:hAnsi="Times New Roman" w:cs="Times New Roman"/>
          <w:sz w:val="28"/>
          <w:szCs w:val="28"/>
        </w:rPr>
        <w:t xml:space="preserve"> </w:t>
      </w:r>
      <w:r w:rsidR="00A212FD" w:rsidRPr="00A212FD">
        <w:rPr>
          <w:rFonts w:ascii="Times New Roman" w:hAnsi="Times New Roman" w:cs="Times New Roman"/>
          <w:sz w:val="28"/>
          <w:szCs w:val="28"/>
        </w:rPr>
        <w:t>№41/ТП/2021</w:t>
      </w:r>
      <w:r w:rsidR="00A212FD" w:rsidRPr="00294C74">
        <w:rPr>
          <w:rFonts w:ascii="Times New Roman" w:hAnsi="Times New Roman" w:cs="Times New Roman"/>
          <w:sz w:val="28"/>
          <w:szCs w:val="28"/>
        </w:rPr>
        <w:t>.</w:t>
      </w:r>
    </w:p>
    <w:p w:rsidR="00523F38" w:rsidRDefault="00895E5C" w:rsidP="00D17C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2767C">
        <w:rPr>
          <w:rFonts w:ascii="Times New Roman" w:hAnsi="Times New Roman" w:cs="Times New Roman"/>
          <w:sz w:val="28"/>
          <w:szCs w:val="28"/>
        </w:rPr>
        <w:t xml:space="preserve"> </w:t>
      </w:r>
      <w:r w:rsidR="009D6B9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0FB">
        <w:rPr>
          <w:rFonts w:ascii="Times New Roman" w:hAnsi="Times New Roman" w:cs="Times New Roman"/>
          <w:sz w:val="28"/>
          <w:szCs w:val="28"/>
        </w:rPr>
        <w:t>вносились изменения о количестве точек приема (поставки) электрической энергии в связи с ввод</w:t>
      </w:r>
      <w:r w:rsidR="00B961B9" w:rsidRPr="001F7DF7">
        <w:rPr>
          <w:rFonts w:ascii="Times New Roman" w:hAnsi="Times New Roman" w:cs="Times New Roman"/>
          <w:sz w:val="28"/>
          <w:szCs w:val="28"/>
        </w:rPr>
        <w:t>ом</w:t>
      </w:r>
      <w:r w:rsidRPr="00E470FB">
        <w:rPr>
          <w:rFonts w:ascii="Times New Roman" w:hAnsi="Times New Roman" w:cs="Times New Roman"/>
          <w:sz w:val="28"/>
          <w:szCs w:val="28"/>
        </w:rPr>
        <w:t xml:space="preserve"> в эксплуатацию энергообъектов </w:t>
      </w:r>
      <w:r w:rsidR="00D03C1C" w:rsidRPr="00E470FB">
        <w:rPr>
          <w:rFonts w:ascii="Times New Roman" w:hAnsi="Times New Roman" w:cs="Times New Roman"/>
          <w:sz w:val="28"/>
          <w:szCs w:val="28"/>
        </w:rPr>
        <w:t>в результате осуществления</w:t>
      </w:r>
      <w:r w:rsidRPr="00E470FB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к электрическим сетям</w:t>
      </w:r>
      <w:r w:rsidR="00E470FB">
        <w:rPr>
          <w:rFonts w:ascii="Times New Roman" w:hAnsi="Times New Roman" w:cs="Times New Roman"/>
          <w:sz w:val="28"/>
          <w:szCs w:val="28"/>
        </w:rPr>
        <w:t>.</w:t>
      </w:r>
      <w:r w:rsidRPr="00E470FB">
        <w:rPr>
          <w:rFonts w:ascii="Times New Roman" w:hAnsi="Times New Roman" w:cs="Times New Roman"/>
          <w:sz w:val="28"/>
          <w:szCs w:val="28"/>
        </w:rPr>
        <w:t xml:space="preserve"> </w:t>
      </w:r>
      <w:r w:rsidR="005E51FF" w:rsidRPr="00E470FB">
        <w:rPr>
          <w:rFonts w:ascii="Times New Roman" w:hAnsi="Times New Roman" w:cs="Times New Roman"/>
          <w:sz w:val="28"/>
          <w:szCs w:val="28"/>
        </w:rPr>
        <w:t xml:space="preserve">Количество точек приема (поставки) электрической энергии </w:t>
      </w:r>
      <w:r w:rsidR="00523F38" w:rsidRPr="00E470FB">
        <w:rPr>
          <w:rFonts w:ascii="Times New Roman" w:hAnsi="Times New Roman" w:cs="Times New Roman"/>
          <w:sz w:val="28"/>
          <w:szCs w:val="28"/>
        </w:rPr>
        <w:t xml:space="preserve">в сеть ООО «Энерготранзит» </w:t>
      </w:r>
      <w:r w:rsidR="005E51FF" w:rsidRPr="00E470FB">
        <w:rPr>
          <w:rFonts w:ascii="Times New Roman" w:hAnsi="Times New Roman" w:cs="Times New Roman"/>
          <w:sz w:val="28"/>
          <w:szCs w:val="28"/>
        </w:rPr>
        <w:t>на 01.01.202</w:t>
      </w:r>
      <w:r w:rsidR="00E470FB" w:rsidRPr="00E470FB">
        <w:rPr>
          <w:rFonts w:ascii="Times New Roman" w:hAnsi="Times New Roman" w:cs="Times New Roman"/>
          <w:sz w:val="28"/>
          <w:szCs w:val="28"/>
        </w:rPr>
        <w:t>3</w:t>
      </w:r>
      <w:r w:rsidR="005E51FF" w:rsidRPr="00E470F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0FB" w:rsidRPr="00E470FB">
        <w:rPr>
          <w:rFonts w:ascii="Times New Roman" w:hAnsi="Times New Roman" w:cs="Times New Roman"/>
          <w:sz w:val="28"/>
          <w:szCs w:val="28"/>
        </w:rPr>
        <w:t>146</w:t>
      </w:r>
      <w:r w:rsidR="005E51FF" w:rsidRPr="00E470FB">
        <w:rPr>
          <w:rFonts w:ascii="Times New Roman" w:hAnsi="Times New Roman" w:cs="Times New Roman"/>
          <w:sz w:val="28"/>
          <w:szCs w:val="28"/>
        </w:rPr>
        <w:t xml:space="preserve"> </w:t>
      </w:r>
      <w:r w:rsidR="00CE22B0" w:rsidRPr="00E470FB">
        <w:rPr>
          <w:rFonts w:ascii="Times New Roman" w:hAnsi="Times New Roman" w:cs="Times New Roman"/>
          <w:sz w:val="28"/>
          <w:szCs w:val="28"/>
        </w:rPr>
        <w:t>т.у.</w:t>
      </w:r>
      <w:r w:rsidR="005E51FF" w:rsidRPr="00E470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E22B0" w:rsidRPr="00E470FB">
        <w:rPr>
          <w:rFonts w:ascii="Times New Roman" w:hAnsi="Times New Roman" w:cs="Times New Roman"/>
          <w:sz w:val="28"/>
          <w:szCs w:val="28"/>
        </w:rPr>
        <w:t xml:space="preserve">от АО «Сетевая компания» - </w:t>
      </w:r>
      <w:r w:rsidR="00E470FB" w:rsidRPr="00E470FB">
        <w:rPr>
          <w:rFonts w:ascii="Times New Roman" w:hAnsi="Times New Roman" w:cs="Times New Roman"/>
          <w:sz w:val="28"/>
          <w:szCs w:val="28"/>
        </w:rPr>
        <w:t>140</w:t>
      </w:r>
      <w:r w:rsidR="00CE22B0" w:rsidRPr="00E470FB">
        <w:rPr>
          <w:rFonts w:ascii="Times New Roman" w:hAnsi="Times New Roman" w:cs="Times New Roman"/>
          <w:sz w:val="28"/>
          <w:szCs w:val="28"/>
        </w:rPr>
        <w:t xml:space="preserve"> т.у. и других сетевых организаций -6 т.у. Все точки приема </w:t>
      </w:r>
      <w:r w:rsidR="005E51FF" w:rsidRPr="00E470FB">
        <w:rPr>
          <w:rFonts w:ascii="Times New Roman" w:hAnsi="Times New Roman" w:cs="Times New Roman"/>
          <w:sz w:val="28"/>
          <w:szCs w:val="28"/>
        </w:rPr>
        <w:t>оснащены</w:t>
      </w:r>
      <w:r w:rsidR="00523F38" w:rsidRPr="00E470FB">
        <w:rPr>
          <w:rFonts w:ascii="Times New Roman" w:hAnsi="Times New Roman" w:cs="Times New Roman"/>
          <w:sz w:val="28"/>
          <w:szCs w:val="28"/>
        </w:rPr>
        <w:t xml:space="preserve"> 100% приборами учета.</w:t>
      </w:r>
    </w:p>
    <w:p w:rsidR="005E51FF" w:rsidRDefault="00CE22B0" w:rsidP="00D17C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точек поставки электрической энергии потребителям </w:t>
      </w:r>
      <w:r w:rsidR="00407975">
        <w:rPr>
          <w:rFonts w:ascii="Times New Roman" w:hAnsi="Times New Roman" w:cs="Times New Roman"/>
          <w:sz w:val="28"/>
          <w:szCs w:val="28"/>
        </w:rPr>
        <w:t>во исполнение обязательств по договорам</w:t>
      </w:r>
      <w:r w:rsidR="0019506A">
        <w:rPr>
          <w:rFonts w:ascii="Times New Roman" w:hAnsi="Times New Roman" w:cs="Times New Roman"/>
          <w:sz w:val="28"/>
          <w:szCs w:val="28"/>
        </w:rPr>
        <w:t xml:space="preserve"> </w:t>
      </w:r>
      <w:r w:rsidR="00407975">
        <w:rPr>
          <w:rFonts w:ascii="Times New Roman" w:hAnsi="Times New Roman" w:cs="Times New Roman"/>
          <w:sz w:val="28"/>
          <w:szCs w:val="28"/>
        </w:rPr>
        <w:t xml:space="preserve">оказания услуг составляет 965 т.у. Количество точек расчетного учета для определения объема продажи (полезного отпуска) электрической энергии (мощности)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407975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т.у. (оснащены приборами учета) в том числе </w:t>
      </w:r>
      <w:r w:rsidR="005E51FF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измерительной системой </w:t>
      </w:r>
      <w:r w:rsidRPr="00252516">
        <w:rPr>
          <w:rFonts w:ascii="Times New Roman" w:hAnsi="Times New Roman" w:cs="Times New Roman"/>
          <w:sz w:val="28"/>
          <w:szCs w:val="28"/>
        </w:rPr>
        <w:t>878т.у. (820т.у – АРГО и 58т.у. ЭЛДИС).</w:t>
      </w:r>
    </w:p>
    <w:p w:rsidR="00895E5C" w:rsidRDefault="00895E5C" w:rsidP="00D17C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отразилась и на балансе электрической энергии (мощности) по электрическим сетям ООО «Энерготранзит», а именно на объемах поступления электроэнергии в сеть организации, на полезном отпуске потребителям и потерям электрической энергии по уровням напряжения.</w:t>
      </w:r>
    </w:p>
    <w:p w:rsidR="004D2B7D" w:rsidRDefault="004813B3" w:rsidP="00705C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Баланс электрической энергии по электрическим сетя</w:t>
      </w:r>
      <w:r w:rsidR="00705C74">
        <w:rPr>
          <w:rFonts w:ascii="Times New Roman" w:hAnsi="Times New Roman" w:cs="Times New Roman"/>
          <w:sz w:val="28"/>
          <w:szCs w:val="28"/>
        </w:rPr>
        <w:t>м О</w:t>
      </w:r>
      <w:r w:rsidR="004D2B7D">
        <w:rPr>
          <w:rFonts w:ascii="Times New Roman" w:hAnsi="Times New Roman" w:cs="Times New Roman"/>
          <w:sz w:val="28"/>
          <w:szCs w:val="28"/>
        </w:rPr>
        <w:t>ОО «Энерготранзит за 2022 год представлен в таблице:</w:t>
      </w:r>
      <w:r w:rsidR="004D2B7D" w:rsidRPr="003D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DA" w:rsidRDefault="00F10FDA" w:rsidP="00F10F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млн.кВт*ч</w:t>
      </w:r>
    </w:p>
    <w:p w:rsidR="00294C74" w:rsidRDefault="00294C74" w:rsidP="00F10F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4C74">
        <w:rPr>
          <w:noProof/>
          <w:lang w:eastAsia="ru-RU"/>
        </w:rPr>
        <w:drawing>
          <wp:inline distT="0" distB="0" distL="0" distR="0">
            <wp:extent cx="5726875" cy="3751767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28" cy="37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60" w:rsidRDefault="00705C74" w:rsidP="00D17C7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</w:t>
      </w:r>
      <w:r w:rsidR="00DB6C9D">
        <w:rPr>
          <w:rFonts w:ascii="Times New Roman" w:hAnsi="Times New Roman" w:cs="Times New Roman"/>
          <w:sz w:val="28"/>
          <w:szCs w:val="28"/>
        </w:rPr>
        <w:t>тная величина норматива потерь в пересчете на фактические объемы поступления электроэнергии в сеть 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380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 состави</w:t>
      </w:r>
      <w:r w:rsidR="00997CC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Pr="00B56521">
        <w:rPr>
          <w:rFonts w:ascii="Times New Roman" w:hAnsi="Times New Roman" w:cs="Times New Roman"/>
          <w:sz w:val="28"/>
          <w:szCs w:val="28"/>
        </w:rPr>
        <w:t xml:space="preserve">электрическим сетям </w:t>
      </w:r>
      <w:r w:rsidR="00685111">
        <w:rPr>
          <w:rFonts w:ascii="Times New Roman" w:hAnsi="Times New Roman" w:cs="Times New Roman"/>
          <w:sz w:val="28"/>
          <w:szCs w:val="28"/>
        </w:rPr>
        <w:t>6,25</w:t>
      </w:r>
      <w:r w:rsidR="003D14D9" w:rsidRPr="00B56521">
        <w:rPr>
          <w:rFonts w:ascii="Times New Roman" w:hAnsi="Times New Roman" w:cs="Times New Roman"/>
          <w:sz w:val="28"/>
          <w:szCs w:val="28"/>
        </w:rPr>
        <w:t xml:space="preserve"> </w:t>
      </w:r>
      <w:r w:rsidR="00B85F21">
        <w:rPr>
          <w:rFonts w:ascii="Times New Roman" w:hAnsi="Times New Roman" w:cs="Times New Roman"/>
          <w:sz w:val="28"/>
          <w:szCs w:val="28"/>
        </w:rPr>
        <w:t>млн кВ</w:t>
      </w:r>
      <w:r w:rsidRPr="00B56521">
        <w:rPr>
          <w:rFonts w:ascii="Times New Roman" w:hAnsi="Times New Roman" w:cs="Times New Roman"/>
          <w:sz w:val="28"/>
          <w:szCs w:val="28"/>
        </w:rPr>
        <w:t>т</w:t>
      </w:r>
      <w:r w:rsidR="00B85F21">
        <w:rPr>
          <w:rFonts w:ascii="Times New Roman" w:hAnsi="Times New Roman" w:cs="Times New Roman"/>
          <w:sz w:val="28"/>
          <w:szCs w:val="28"/>
        </w:rPr>
        <w:t>*</w:t>
      </w:r>
      <w:r w:rsidRPr="00B56521">
        <w:rPr>
          <w:rFonts w:ascii="Times New Roman" w:hAnsi="Times New Roman" w:cs="Times New Roman"/>
          <w:sz w:val="28"/>
          <w:szCs w:val="28"/>
        </w:rPr>
        <w:t>ч. (</w:t>
      </w:r>
      <w:r w:rsidR="00685111">
        <w:rPr>
          <w:rFonts w:ascii="Times New Roman" w:hAnsi="Times New Roman" w:cs="Times New Roman"/>
          <w:sz w:val="28"/>
          <w:szCs w:val="28"/>
        </w:rPr>
        <w:t>6,88</w:t>
      </w:r>
      <w:r w:rsidR="00DB6C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B6C9D" w:rsidRPr="00957171" w:rsidRDefault="000A2C98" w:rsidP="00DB6C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потерь электрической энергии при ее передаче по электрическим сетям относительно нормативных потерь </w:t>
      </w:r>
      <w:r w:rsidRPr="001D6FF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85111">
        <w:rPr>
          <w:rFonts w:ascii="Times New Roman" w:hAnsi="Times New Roman" w:cs="Times New Roman"/>
          <w:sz w:val="28"/>
          <w:szCs w:val="28"/>
        </w:rPr>
        <w:t>0,722</w:t>
      </w:r>
      <w:r w:rsidR="00E16D5F">
        <w:rPr>
          <w:rFonts w:ascii="Times New Roman" w:hAnsi="Times New Roman" w:cs="Times New Roman"/>
          <w:sz w:val="28"/>
          <w:szCs w:val="28"/>
        </w:rPr>
        <w:t> м</w:t>
      </w:r>
      <w:r w:rsidR="001D6FF2" w:rsidRPr="00B56521">
        <w:rPr>
          <w:rFonts w:ascii="Times New Roman" w:hAnsi="Times New Roman" w:cs="Times New Roman"/>
          <w:sz w:val="28"/>
          <w:szCs w:val="28"/>
        </w:rPr>
        <w:t>лн.</w:t>
      </w:r>
      <w:r w:rsidRPr="00B56521">
        <w:rPr>
          <w:rFonts w:ascii="Times New Roman" w:hAnsi="Times New Roman" w:cs="Times New Roman"/>
          <w:sz w:val="28"/>
          <w:szCs w:val="28"/>
        </w:rPr>
        <w:t>кВт</w:t>
      </w:r>
      <w:r w:rsidR="00B85F21">
        <w:rPr>
          <w:rFonts w:ascii="Times New Roman" w:hAnsi="Times New Roman" w:cs="Times New Roman"/>
          <w:sz w:val="28"/>
          <w:szCs w:val="28"/>
        </w:rPr>
        <w:t>*</w:t>
      </w:r>
      <w:r w:rsidRPr="00B56521">
        <w:rPr>
          <w:rFonts w:ascii="Times New Roman" w:hAnsi="Times New Roman" w:cs="Times New Roman"/>
          <w:sz w:val="28"/>
          <w:szCs w:val="28"/>
        </w:rPr>
        <w:t>ч (</w:t>
      </w:r>
      <w:r w:rsidR="00685111">
        <w:rPr>
          <w:rFonts w:ascii="Times New Roman" w:hAnsi="Times New Roman" w:cs="Times New Roman"/>
          <w:sz w:val="28"/>
          <w:szCs w:val="28"/>
        </w:rPr>
        <w:t>11,5</w:t>
      </w:r>
      <w:r w:rsidR="00DB6C9D">
        <w:rPr>
          <w:rFonts w:ascii="Times New Roman" w:hAnsi="Times New Roman" w:cs="Times New Roman"/>
          <w:sz w:val="28"/>
          <w:szCs w:val="28"/>
        </w:rPr>
        <w:t>%)</w:t>
      </w:r>
      <w:r w:rsidR="00997CC3">
        <w:rPr>
          <w:rFonts w:ascii="Times New Roman" w:hAnsi="Times New Roman" w:cs="Times New Roman"/>
          <w:sz w:val="28"/>
          <w:szCs w:val="28"/>
        </w:rPr>
        <w:t xml:space="preserve"> </w:t>
      </w:r>
      <w:r w:rsidR="00DB6C9D" w:rsidRPr="00957171"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1A73C6">
        <w:rPr>
          <w:rFonts w:ascii="Times New Roman" w:hAnsi="Times New Roman" w:cs="Times New Roman"/>
          <w:sz w:val="28"/>
          <w:szCs w:val="28"/>
        </w:rPr>
        <w:t>2,098</w:t>
      </w:r>
      <w:r w:rsidR="00DB6C9D" w:rsidRPr="00957171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B85F21" w:rsidRPr="00432F89" w:rsidRDefault="00B85F21" w:rsidP="00D17C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89">
        <w:rPr>
          <w:rFonts w:ascii="Times New Roman" w:hAnsi="Times New Roman" w:cs="Times New Roman"/>
          <w:sz w:val="28"/>
          <w:szCs w:val="28"/>
        </w:rPr>
        <w:t>Величина полезного отпуска из сети ООО «Энерготранзит»</w:t>
      </w:r>
      <w:r w:rsidR="00B857C0">
        <w:rPr>
          <w:rFonts w:ascii="Times New Roman" w:hAnsi="Times New Roman" w:cs="Times New Roman"/>
          <w:sz w:val="28"/>
          <w:szCs w:val="28"/>
        </w:rPr>
        <w:t xml:space="preserve"> </w:t>
      </w:r>
      <w:r w:rsidRPr="00432F89">
        <w:rPr>
          <w:rFonts w:ascii="Times New Roman" w:hAnsi="Times New Roman" w:cs="Times New Roman"/>
          <w:sz w:val="28"/>
          <w:szCs w:val="28"/>
        </w:rPr>
        <w:t>за 2022</w:t>
      </w:r>
      <w:r w:rsidR="00B12239">
        <w:rPr>
          <w:rFonts w:ascii="Times New Roman" w:hAnsi="Times New Roman" w:cs="Times New Roman"/>
          <w:sz w:val="28"/>
          <w:szCs w:val="28"/>
        </w:rPr>
        <w:t xml:space="preserve"> </w:t>
      </w:r>
      <w:r w:rsidRPr="00432F89">
        <w:rPr>
          <w:rFonts w:ascii="Times New Roman" w:hAnsi="Times New Roman" w:cs="Times New Roman"/>
          <w:sz w:val="28"/>
          <w:szCs w:val="28"/>
        </w:rPr>
        <w:t xml:space="preserve">год выросла на 7,23 млн.кВт*ч(9,26%) по отношению к факту 2021 года и на 4,49 млн.кВт*ч (5,6%) по отношению к плану на 2022год. Рост объемов </w:t>
      </w:r>
      <w:r w:rsidR="00432F89" w:rsidRPr="00432F89">
        <w:rPr>
          <w:rFonts w:ascii="Times New Roman" w:hAnsi="Times New Roman" w:cs="Times New Roman"/>
          <w:sz w:val="28"/>
          <w:szCs w:val="28"/>
        </w:rPr>
        <w:t xml:space="preserve">полезного отпуска за 2022 год </w:t>
      </w:r>
      <w:r w:rsidRPr="00432F89">
        <w:rPr>
          <w:rFonts w:ascii="Times New Roman" w:hAnsi="Times New Roman" w:cs="Times New Roman"/>
          <w:sz w:val="28"/>
          <w:szCs w:val="28"/>
        </w:rPr>
        <w:t xml:space="preserve">связан с выполнением технологического присоединения </w:t>
      </w:r>
      <w:r w:rsidR="00432F89" w:rsidRPr="00432F89">
        <w:rPr>
          <w:rFonts w:ascii="Times New Roman" w:hAnsi="Times New Roman" w:cs="Times New Roman"/>
          <w:sz w:val="28"/>
          <w:szCs w:val="28"/>
        </w:rPr>
        <w:t xml:space="preserve">и увеличением потребления по уже подключенным объектам. </w:t>
      </w:r>
    </w:p>
    <w:p w:rsidR="000A2C98" w:rsidRPr="00432F89" w:rsidRDefault="000A2C98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89">
        <w:rPr>
          <w:rFonts w:ascii="Times New Roman" w:hAnsi="Times New Roman" w:cs="Times New Roman"/>
          <w:sz w:val="28"/>
          <w:szCs w:val="28"/>
        </w:rPr>
        <w:t>Снижение потерь электроэнергии в электрических сетях –</w:t>
      </w:r>
      <w:r w:rsidR="00895E5C" w:rsidRPr="00432F89">
        <w:rPr>
          <w:rFonts w:ascii="Times New Roman" w:hAnsi="Times New Roman" w:cs="Times New Roman"/>
          <w:sz w:val="28"/>
          <w:szCs w:val="28"/>
        </w:rPr>
        <w:t xml:space="preserve"> </w:t>
      </w:r>
      <w:r w:rsidRPr="00432F89">
        <w:rPr>
          <w:rFonts w:ascii="Times New Roman" w:hAnsi="Times New Roman" w:cs="Times New Roman"/>
          <w:sz w:val="28"/>
          <w:szCs w:val="28"/>
        </w:rPr>
        <w:t>то основной путь повышения энергетической эффективности предприятия.</w:t>
      </w:r>
    </w:p>
    <w:p w:rsidR="000A2C98" w:rsidRDefault="000A2C98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89">
        <w:rPr>
          <w:rFonts w:ascii="Times New Roman" w:hAnsi="Times New Roman" w:cs="Times New Roman"/>
          <w:sz w:val="28"/>
          <w:szCs w:val="28"/>
        </w:rPr>
        <w:t>Выполняя требования Федерального закона Российской Федерации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 в ООО «Энерготранзит» была разработана Программа энергосбережения и повышения энергетической эффективности.</w:t>
      </w:r>
    </w:p>
    <w:p w:rsidR="001A73C6" w:rsidRDefault="001A73C6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F89" w:rsidRDefault="00432F89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Программы на период 2022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4147"/>
        <w:gridCol w:w="1301"/>
        <w:gridCol w:w="3396"/>
      </w:tblGrid>
      <w:tr w:rsidR="00432F89" w:rsidTr="00432F89">
        <w:tc>
          <w:tcPr>
            <w:tcW w:w="784" w:type="dxa"/>
          </w:tcPr>
          <w:p w:rsidR="00432F89" w:rsidRPr="00451D72" w:rsidRDefault="00432F89" w:rsidP="0043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№пп</w:t>
            </w:r>
          </w:p>
        </w:tc>
        <w:tc>
          <w:tcPr>
            <w:tcW w:w="4147" w:type="dxa"/>
          </w:tcPr>
          <w:p w:rsidR="00432F89" w:rsidRPr="00451D72" w:rsidRDefault="00432F89" w:rsidP="0043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01" w:type="dxa"/>
          </w:tcPr>
          <w:p w:rsidR="00432F89" w:rsidRPr="00451D72" w:rsidRDefault="00432F89" w:rsidP="0043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3396" w:type="dxa"/>
          </w:tcPr>
          <w:p w:rsidR="00432F89" w:rsidRPr="00451D72" w:rsidRDefault="00432F89" w:rsidP="0043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32F89" w:rsidTr="00432F89">
        <w:tc>
          <w:tcPr>
            <w:tcW w:w="784" w:type="dxa"/>
          </w:tcPr>
          <w:p w:rsidR="00432F89" w:rsidRPr="00451D72" w:rsidRDefault="00BD25FC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47" w:type="dxa"/>
          </w:tcPr>
          <w:p w:rsidR="00432F89" w:rsidRPr="00451D72" w:rsidRDefault="00BD25FC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Снижение технологических потерь электроэнергии при ее передаче по сетям</w:t>
            </w:r>
          </w:p>
        </w:tc>
        <w:tc>
          <w:tcPr>
            <w:tcW w:w="1301" w:type="dxa"/>
          </w:tcPr>
          <w:p w:rsidR="00432F89" w:rsidRPr="00451D72" w:rsidRDefault="00BD25FC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32F89" w:rsidRPr="00451D72">
              <w:rPr>
                <w:rFonts w:ascii="Times New Roman" w:hAnsi="Times New Roman" w:cs="Times New Roman"/>
                <w:sz w:val="20"/>
                <w:szCs w:val="20"/>
              </w:rPr>
              <w:t>лн.кВтч</w:t>
            </w:r>
          </w:p>
        </w:tc>
        <w:tc>
          <w:tcPr>
            <w:tcW w:w="3396" w:type="dxa"/>
          </w:tcPr>
          <w:p w:rsidR="00432F89" w:rsidRPr="00451D72" w:rsidRDefault="00DC6D1F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1,119</w:t>
            </w:r>
          </w:p>
        </w:tc>
      </w:tr>
      <w:tr w:rsidR="00432F89" w:rsidTr="00432F89">
        <w:tc>
          <w:tcPr>
            <w:tcW w:w="784" w:type="dxa"/>
          </w:tcPr>
          <w:p w:rsidR="00432F89" w:rsidRPr="00451D72" w:rsidRDefault="00BD25FC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7" w:type="dxa"/>
          </w:tcPr>
          <w:p w:rsidR="00432F89" w:rsidRPr="00451D72" w:rsidRDefault="00BD25FC" w:rsidP="00BD25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Оснащенность зданий, строений, сооружений, находящихся в собственности электросетевых организаций, приборами учета используемых воды, тепловой энергии, электрической энергии</w:t>
            </w:r>
          </w:p>
        </w:tc>
        <w:tc>
          <w:tcPr>
            <w:tcW w:w="1301" w:type="dxa"/>
          </w:tcPr>
          <w:p w:rsidR="00432F89" w:rsidRPr="00451D72" w:rsidRDefault="00432F89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96" w:type="dxa"/>
          </w:tcPr>
          <w:p w:rsidR="00432F89" w:rsidRPr="00451D72" w:rsidRDefault="00BD25FC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2F89" w:rsidTr="00432F89">
        <w:tc>
          <w:tcPr>
            <w:tcW w:w="784" w:type="dxa"/>
          </w:tcPr>
          <w:p w:rsidR="00432F89" w:rsidRPr="00451D72" w:rsidRDefault="006367BE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47" w:type="dxa"/>
          </w:tcPr>
          <w:p w:rsidR="00432F89" w:rsidRPr="00451D72" w:rsidRDefault="00BD25FC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устройств.</w:t>
            </w:r>
          </w:p>
        </w:tc>
        <w:tc>
          <w:tcPr>
            <w:tcW w:w="1301" w:type="dxa"/>
          </w:tcPr>
          <w:p w:rsidR="00432F89" w:rsidRPr="00451D72" w:rsidRDefault="006367BE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96" w:type="dxa"/>
          </w:tcPr>
          <w:p w:rsidR="00432F89" w:rsidRPr="00451D72" w:rsidRDefault="006367BE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32F89" w:rsidTr="00432F89">
        <w:tc>
          <w:tcPr>
            <w:tcW w:w="784" w:type="dxa"/>
          </w:tcPr>
          <w:p w:rsidR="00432F89" w:rsidRPr="00451D72" w:rsidRDefault="006367BE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47" w:type="dxa"/>
          </w:tcPr>
          <w:p w:rsidR="00432F89" w:rsidRPr="00451D72" w:rsidRDefault="006367BE" w:rsidP="000A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Обеспечение приборами учета, системой удаленного считывания</w:t>
            </w:r>
          </w:p>
        </w:tc>
        <w:tc>
          <w:tcPr>
            <w:tcW w:w="1301" w:type="dxa"/>
          </w:tcPr>
          <w:p w:rsidR="00432F89" w:rsidRPr="00451D72" w:rsidRDefault="006367BE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3396" w:type="dxa"/>
          </w:tcPr>
          <w:p w:rsidR="00432F89" w:rsidRPr="00451D72" w:rsidRDefault="006367BE" w:rsidP="0063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451D72" w:rsidRDefault="00451D72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239" w:rsidRDefault="00B12239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шагом на </w:t>
      </w:r>
      <w:r w:rsidRPr="00B12239">
        <w:rPr>
          <w:rFonts w:ascii="Times New Roman" w:hAnsi="Times New Roman" w:cs="Times New Roman"/>
          <w:sz w:val="28"/>
          <w:szCs w:val="28"/>
        </w:rPr>
        <w:t>пути повышения энергоэффективности является обеспечение точного и информативного учета электрической энергии. Он позволяет определить наиболее проблемные участки, на которых возможно снижение энергозатрат. Также точный учет дает возможность осуществлять мониторинг энергоэффективности.</w:t>
      </w:r>
    </w:p>
    <w:p w:rsidR="00CB6ADE" w:rsidRPr="006367BE" w:rsidRDefault="006367BE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7BE">
        <w:rPr>
          <w:rFonts w:ascii="Times New Roman" w:hAnsi="Times New Roman" w:cs="Times New Roman"/>
          <w:sz w:val="28"/>
          <w:szCs w:val="28"/>
        </w:rPr>
        <w:t>В 2022 году д</w:t>
      </w:r>
      <w:r w:rsidR="000A2C98" w:rsidRPr="006367BE">
        <w:rPr>
          <w:rFonts w:ascii="Times New Roman" w:hAnsi="Times New Roman" w:cs="Times New Roman"/>
          <w:sz w:val="28"/>
          <w:szCs w:val="28"/>
        </w:rPr>
        <w:t xml:space="preserve">ля снижения технологического расхода (потерь) электрической энергии при ее передаче были </w:t>
      </w:r>
      <w:r w:rsidR="003605E5" w:rsidRPr="006367BE">
        <w:rPr>
          <w:rFonts w:ascii="Times New Roman" w:hAnsi="Times New Roman" w:cs="Times New Roman"/>
          <w:sz w:val="28"/>
          <w:szCs w:val="28"/>
        </w:rPr>
        <w:t>реализованы</w:t>
      </w:r>
      <w:r w:rsidR="000A2C98" w:rsidRPr="006367BE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605E5" w:rsidRPr="00AA4EC7" w:rsidRDefault="003605E5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C7">
        <w:rPr>
          <w:rFonts w:ascii="Times New Roman" w:hAnsi="Times New Roman" w:cs="Times New Roman"/>
          <w:sz w:val="28"/>
          <w:szCs w:val="28"/>
        </w:rPr>
        <w:t>- проведение работ по контролю за эксплуатационным и техническим состоянием приборов учета, установка более совершенных средств измерений;</w:t>
      </w:r>
    </w:p>
    <w:p w:rsidR="003605E5" w:rsidRPr="00AA4EC7" w:rsidRDefault="003605E5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C7">
        <w:rPr>
          <w:rFonts w:ascii="Times New Roman" w:hAnsi="Times New Roman" w:cs="Times New Roman"/>
          <w:sz w:val="28"/>
          <w:szCs w:val="28"/>
        </w:rPr>
        <w:t>- обеспечение снятия показаний с помощью АИИС КУЭ;</w:t>
      </w:r>
    </w:p>
    <w:p w:rsidR="003605E5" w:rsidRPr="00AA4EC7" w:rsidRDefault="003605E5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C7">
        <w:rPr>
          <w:rFonts w:ascii="Times New Roman" w:hAnsi="Times New Roman" w:cs="Times New Roman"/>
          <w:sz w:val="28"/>
          <w:szCs w:val="28"/>
        </w:rPr>
        <w:t>- организация работы по анализу очагов потерь и рейдов по выявлению неучтенного электропотребления;</w:t>
      </w:r>
    </w:p>
    <w:p w:rsidR="00040EE6" w:rsidRDefault="003605E5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EC7">
        <w:rPr>
          <w:rFonts w:ascii="Times New Roman" w:hAnsi="Times New Roman" w:cs="Times New Roman"/>
          <w:sz w:val="28"/>
          <w:szCs w:val="28"/>
        </w:rPr>
        <w:t>-оптимизация режимов работы электрических сетей.</w:t>
      </w:r>
    </w:p>
    <w:p w:rsidR="006367BE" w:rsidRDefault="006367BE" w:rsidP="000A2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энергетические ресурсы ООО «Энерготранзит» выполняет расчеты на основании </w:t>
      </w:r>
      <w:r w:rsidR="0012073C">
        <w:rPr>
          <w:rFonts w:ascii="Times New Roman" w:hAnsi="Times New Roman" w:cs="Times New Roman"/>
          <w:sz w:val="28"/>
          <w:szCs w:val="28"/>
        </w:rPr>
        <w:t>данных о количестве переданной, потребленной, определенной при помощи приборов учета используемых энергоресурсов. ООО «Энерготранзит» оснащен приборами учета на</w:t>
      </w:r>
      <w:r w:rsidR="00025193">
        <w:rPr>
          <w:rFonts w:ascii="Times New Roman" w:hAnsi="Times New Roman" w:cs="Times New Roman"/>
          <w:sz w:val="28"/>
          <w:szCs w:val="28"/>
        </w:rPr>
        <w:t xml:space="preserve"> 100%</w:t>
      </w:r>
      <w:r w:rsidR="0012073C">
        <w:rPr>
          <w:rFonts w:ascii="Times New Roman" w:hAnsi="Times New Roman" w:cs="Times New Roman"/>
          <w:sz w:val="28"/>
          <w:szCs w:val="28"/>
        </w:rPr>
        <w:t>.</w:t>
      </w:r>
    </w:p>
    <w:p w:rsidR="00040EE6" w:rsidRPr="00C504C2" w:rsidRDefault="00040EE6" w:rsidP="00040E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4C2">
        <w:rPr>
          <w:rFonts w:ascii="Times New Roman" w:hAnsi="Times New Roman" w:cs="Times New Roman"/>
          <w:sz w:val="28"/>
          <w:szCs w:val="28"/>
        </w:rPr>
        <w:t>При этом наиболее значимыми мероприятиями, с точки зрения получения максимального экономического эффекта при минимальных затратах на их проведение, является след</w:t>
      </w:r>
      <w:r w:rsidR="003B35CA">
        <w:rPr>
          <w:rFonts w:ascii="Times New Roman" w:hAnsi="Times New Roman" w:cs="Times New Roman"/>
          <w:sz w:val="28"/>
          <w:szCs w:val="28"/>
        </w:rPr>
        <w:t>ующие:</w:t>
      </w:r>
    </w:p>
    <w:p w:rsidR="003B35CA" w:rsidRPr="003B35CA" w:rsidRDefault="003B35CA" w:rsidP="00C504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CA">
        <w:rPr>
          <w:rFonts w:ascii="Times New Roman" w:hAnsi="Times New Roman" w:cs="Times New Roman"/>
          <w:sz w:val="28"/>
          <w:szCs w:val="28"/>
        </w:rPr>
        <w:t xml:space="preserve">В части снижения электропотребления на хозяйственные нужды организации были проведены мероприятия, направленные на снижение расхода электроэнергии в зданиях трансформаторных подстанций, а именно замена ламп </w:t>
      </w:r>
      <w:r w:rsidRPr="003B35CA">
        <w:rPr>
          <w:rFonts w:ascii="Times New Roman" w:hAnsi="Times New Roman" w:cs="Times New Roman"/>
          <w:sz w:val="28"/>
          <w:szCs w:val="28"/>
        </w:rPr>
        <w:lastRenderedPageBreak/>
        <w:t>накаливания на энергосберегающие лампы и замена осветительных устройств на осветительные устройства со светодиодами.</w:t>
      </w:r>
    </w:p>
    <w:p w:rsidR="007F1965" w:rsidRDefault="00350C17" w:rsidP="00C504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дальнейшей перспективой развития сети для энергоснабжения на объекте «Мой Ритм» мкр М2, РТ, г.Казань, модернизация главной распределительной сети была начата с РУ-10кВ РП-247 установкой в 2021 году дополнительных ячеек на 1 и 2 с.ш. В результате с увеличением нагрузки на шинах 10кВ в</w:t>
      </w:r>
      <w:r w:rsidR="007F1965" w:rsidRPr="007F1965">
        <w:rPr>
          <w:rFonts w:ascii="Times New Roman" w:hAnsi="Times New Roman" w:cs="Times New Roman"/>
          <w:sz w:val="28"/>
          <w:szCs w:val="28"/>
        </w:rPr>
        <w:t xml:space="preserve"> 202</w:t>
      </w:r>
      <w:r w:rsidR="009A545F">
        <w:rPr>
          <w:rFonts w:ascii="Times New Roman" w:hAnsi="Times New Roman" w:cs="Times New Roman"/>
          <w:sz w:val="28"/>
          <w:szCs w:val="28"/>
        </w:rPr>
        <w:t>2</w:t>
      </w:r>
      <w:r w:rsidR="007F1965" w:rsidRPr="007F1965">
        <w:rPr>
          <w:rFonts w:ascii="Times New Roman" w:hAnsi="Times New Roman" w:cs="Times New Roman"/>
          <w:sz w:val="28"/>
          <w:szCs w:val="28"/>
        </w:rPr>
        <w:t xml:space="preserve"> году выполнен</w:t>
      </w:r>
      <w:r>
        <w:rPr>
          <w:rFonts w:ascii="Times New Roman" w:hAnsi="Times New Roman" w:cs="Times New Roman"/>
          <w:sz w:val="28"/>
          <w:szCs w:val="28"/>
        </w:rPr>
        <w:t>а работа</w:t>
      </w:r>
      <w:r w:rsidR="007F1965" w:rsidRPr="007F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увеличению сечения кабельн</w:t>
      </w:r>
      <w:r w:rsidR="008275C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 w:rsidR="008275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10кВ, осуществляющей </w:t>
      </w:r>
      <w:r w:rsidR="007525FA">
        <w:rPr>
          <w:rFonts w:ascii="Times New Roman" w:hAnsi="Times New Roman" w:cs="Times New Roman"/>
          <w:sz w:val="28"/>
          <w:szCs w:val="28"/>
        </w:rPr>
        <w:t>энергоснабжени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5F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25FA">
        <w:rPr>
          <w:rFonts w:ascii="Times New Roman" w:hAnsi="Times New Roman" w:cs="Times New Roman"/>
          <w:sz w:val="28"/>
          <w:szCs w:val="28"/>
        </w:rPr>
        <w:t xml:space="preserve"> </w:t>
      </w:r>
      <w:r w:rsidR="009A545F">
        <w:rPr>
          <w:rFonts w:ascii="Times New Roman" w:hAnsi="Times New Roman" w:cs="Times New Roman"/>
          <w:sz w:val="28"/>
          <w:szCs w:val="28"/>
        </w:rPr>
        <w:t xml:space="preserve">ЖК «Мой Ритм» на сумму </w:t>
      </w:r>
      <w:r w:rsidR="009A545F" w:rsidRPr="00025193">
        <w:rPr>
          <w:rFonts w:ascii="Times New Roman" w:hAnsi="Times New Roman" w:cs="Times New Roman"/>
          <w:sz w:val="28"/>
          <w:szCs w:val="28"/>
        </w:rPr>
        <w:t>5 279,127</w:t>
      </w:r>
      <w:r w:rsidR="00025193" w:rsidRPr="00025193">
        <w:rPr>
          <w:rFonts w:ascii="Times New Roman" w:hAnsi="Times New Roman" w:cs="Times New Roman"/>
          <w:sz w:val="28"/>
          <w:szCs w:val="28"/>
        </w:rPr>
        <w:t xml:space="preserve"> </w:t>
      </w:r>
      <w:r w:rsidR="007F1965" w:rsidRPr="007F1965">
        <w:rPr>
          <w:rFonts w:ascii="Times New Roman" w:hAnsi="Times New Roman" w:cs="Times New Roman"/>
          <w:sz w:val="28"/>
          <w:szCs w:val="28"/>
        </w:rPr>
        <w:t>тыс.руб. (</w:t>
      </w:r>
      <w:r w:rsidR="009A545F">
        <w:rPr>
          <w:rFonts w:ascii="Times New Roman" w:hAnsi="Times New Roman" w:cs="Times New Roman"/>
          <w:sz w:val="28"/>
          <w:szCs w:val="28"/>
        </w:rPr>
        <w:t>без</w:t>
      </w:r>
      <w:r w:rsidR="007F1965" w:rsidRPr="007F1965">
        <w:rPr>
          <w:rFonts w:ascii="Times New Roman" w:hAnsi="Times New Roman" w:cs="Times New Roman"/>
          <w:sz w:val="28"/>
          <w:szCs w:val="28"/>
        </w:rPr>
        <w:t xml:space="preserve"> НДС). </w:t>
      </w:r>
    </w:p>
    <w:p w:rsidR="00025193" w:rsidRDefault="00A05E8D" w:rsidP="008275C5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проводились ремонтные работы </w:t>
      </w:r>
      <w:r w:rsidR="00727919">
        <w:rPr>
          <w:rFonts w:ascii="Times New Roman" w:hAnsi="Times New Roman" w:cs="Times New Roman"/>
          <w:sz w:val="28"/>
          <w:szCs w:val="28"/>
        </w:rPr>
        <w:t>и работы по ликвидации аварийных отключений энергетического оборудования (КЛ, РУ и т.п.).</w:t>
      </w:r>
      <w:r w:rsidR="0002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19" w:rsidRDefault="00727919" w:rsidP="00025193">
      <w:pPr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режимов работы электрических сетей</w:t>
      </w:r>
      <w:r w:rsidR="00C504C2">
        <w:rPr>
          <w:rFonts w:ascii="Times New Roman" w:hAnsi="Times New Roman" w:cs="Times New Roman"/>
          <w:sz w:val="28"/>
          <w:szCs w:val="28"/>
        </w:rPr>
        <w:t>, в том числе распределение равномерной нагрузки фаз трансформаторов. Выполнялась работа по установке систем удаленного считывания.</w:t>
      </w:r>
    </w:p>
    <w:p w:rsidR="009A545F" w:rsidRDefault="00386F9B" w:rsidP="00C504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</w:t>
      </w:r>
      <w:r w:rsidR="009A545F">
        <w:rPr>
          <w:rFonts w:ascii="Times New Roman" w:hAnsi="Times New Roman" w:cs="Times New Roman"/>
          <w:sz w:val="28"/>
          <w:szCs w:val="28"/>
        </w:rPr>
        <w:t xml:space="preserve"> </w:t>
      </w:r>
      <w:r w:rsidR="004D681C">
        <w:rPr>
          <w:rFonts w:ascii="Times New Roman" w:hAnsi="Times New Roman" w:cs="Times New Roman"/>
          <w:sz w:val="28"/>
          <w:szCs w:val="28"/>
        </w:rPr>
        <w:t xml:space="preserve">в 2022г. </w:t>
      </w:r>
      <w:r w:rsidR="009A545F">
        <w:rPr>
          <w:rFonts w:ascii="Times New Roman" w:hAnsi="Times New Roman" w:cs="Times New Roman"/>
          <w:sz w:val="28"/>
          <w:szCs w:val="28"/>
        </w:rPr>
        <w:t>стали следующие эффекты:</w:t>
      </w:r>
    </w:p>
    <w:p w:rsidR="00386F9B" w:rsidRDefault="009A545F" w:rsidP="00C504C2">
      <w:pPr>
        <w:pStyle w:val="a3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объем</w:t>
      </w:r>
      <w:r w:rsidR="00386F9B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6F9B">
        <w:rPr>
          <w:rFonts w:ascii="Times New Roman" w:hAnsi="Times New Roman" w:cs="Times New Roman"/>
          <w:sz w:val="28"/>
          <w:szCs w:val="28"/>
        </w:rPr>
        <w:t xml:space="preserve"> </w:t>
      </w:r>
      <w:r w:rsidR="004D681C">
        <w:rPr>
          <w:rFonts w:ascii="Times New Roman" w:hAnsi="Times New Roman" w:cs="Times New Roman"/>
          <w:sz w:val="28"/>
          <w:szCs w:val="28"/>
        </w:rPr>
        <w:t>технических потерь электрической</w:t>
      </w:r>
      <w:r w:rsidR="004D681C" w:rsidRPr="004D681C">
        <w:rPr>
          <w:rFonts w:ascii="Times New Roman" w:hAnsi="Times New Roman" w:cs="Times New Roman"/>
          <w:sz w:val="28"/>
          <w:szCs w:val="28"/>
        </w:rPr>
        <w:t xml:space="preserve"> </w:t>
      </w:r>
      <w:r w:rsidR="004D681C">
        <w:rPr>
          <w:rFonts w:ascii="Times New Roman" w:hAnsi="Times New Roman" w:cs="Times New Roman"/>
          <w:sz w:val="28"/>
          <w:szCs w:val="28"/>
        </w:rPr>
        <w:t>энергии, достигнутый</w:t>
      </w:r>
      <w:r w:rsidR="00386F9B">
        <w:rPr>
          <w:rFonts w:ascii="Times New Roman" w:hAnsi="Times New Roman" w:cs="Times New Roman"/>
          <w:sz w:val="28"/>
          <w:szCs w:val="28"/>
        </w:rPr>
        <w:t xml:space="preserve"> </w:t>
      </w:r>
      <w:r w:rsidR="004D681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B4CAB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386F9B">
        <w:rPr>
          <w:rFonts w:ascii="Times New Roman" w:hAnsi="Times New Roman" w:cs="Times New Roman"/>
          <w:sz w:val="28"/>
          <w:szCs w:val="28"/>
        </w:rPr>
        <w:t>составил</w:t>
      </w:r>
      <w:r w:rsidR="002B4CAB">
        <w:rPr>
          <w:rFonts w:ascii="Times New Roman" w:hAnsi="Times New Roman" w:cs="Times New Roman"/>
          <w:sz w:val="28"/>
          <w:szCs w:val="28"/>
        </w:rPr>
        <w:t xml:space="preserve"> </w:t>
      </w:r>
      <w:r w:rsidR="001A73C6">
        <w:rPr>
          <w:rFonts w:ascii="Times New Roman" w:hAnsi="Times New Roman" w:cs="Times New Roman"/>
          <w:sz w:val="28"/>
          <w:szCs w:val="28"/>
        </w:rPr>
        <w:t>0,722</w:t>
      </w:r>
      <w:r w:rsidR="002B4CAB">
        <w:rPr>
          <w:rFonts w:ascii="Times New Roman" w:hAnsi="Times New Roman" w:cs="Times New Roman"/>
          <w:sz w:val="28"/>
          <w:szCs w:val="28"/>
        </w:rPr>
        <w:t> </w:t>
      </w:r>
      <w:r w:rsidR="00386F9B" w:rsidRPr="00025193">
        <w:rPr>
          <w:rFonts w:ascii="Times New Roman" w:hAnsi="Times New Roman" w:cs="Times New Roman"/>
          <w:sz w:val="28"/>
          <w:szCs w:val="28"/>
        </w:rPr>
        <w:t>млн.кВтч;</w:t>
      </w:r>
    </w:p>
    <w:p w:rsidR="009A545F" w:rsidRDefault="009A545F" w:rsidP="00C504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81C">
        <w:rPr>
          <w:rFonts w:ascii="Times New Roman" w:hAnsi="Times New Roman" w:cs="Times New Roman"/>
          <w:sz w:val="28"/>
          <w:szCs w:val="28"/>
        </w:rPr>
        <w:t>- фактический экономический эффект от реализации мероприятий</w:t>
      </w:r>
      <w:r w:rsidR="002B4CAB">
        <w:rPr>
          <w:rFonts w:ascii="Times New Roman" w:hAnsi="Times New Roman" w:cs="Times New Roman"/>
          <w:sz w:val="28"/>
          <w:szCs w:val="28"/>
        </w:rPr>
        <w:t xml:space="preserve"> полученный за год действия программы </w:t>
      </w:r>
      <w:r w:rsidRPr="004D681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5705" w:rsidRPr="00C75705">
        <w:rPr>
          <w:rFonts w:ascii="Times New Roman" w:hAnsi="Times New Roman" w:cs="Times New Roman"/>
          <w:sz w:val="28"/>
          <w:szCs w:val="28"/>
        </w:rPr>
        <w:t>7,071</w:t>
      </w:r>
      <w:r w:rsidRPr="00C75705">
        <w:rPr>
          <w:rFonts w:ascii="Times New Roman" w:hAnsi="Times New Roman" w:cs="Times New Roman"/>
          <w:sz w:val="28"/>
          <w:szCs w:val="28"/>
        </w:rPr>
        <w:t xml:space="preserve"> </w:t>
      </w:r>
      <w:r w:rsidRPr="004D681C">
        <w:rPr>
          <w:rFonts w:ascii="Times New Roman" w:hAnsi="Times New Roman" w:cs="Times New Roman"/>
          <w:sz w:val="28"/>
          <w:szCs w:val="28"/>
        </w:rPr>
        <w:t>млн.руб</w:t>
      </w:r>
      <w:r w:rsidR="002B4CAB">
        <w:rPr>
          <w:rFonts w:ascii="Times New Roman" w:hAnsi="Times New Roman" w:cs="Times New Roman"/>
          <w:sz w:val="28"/>
          <w:szCs w:val="28"/>
        </w:rPr>
        <w:t>.</w:t>
      </w:r>
    </w:p>
    <w:p w:rsidR="002B4CAB" w:rsidRPr="004D681C" w:rsidRDefault="002B4CAB" w:rsidP="00C504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финансовые затраты на реализацию мероприятий программы за отчетный период составили</w:t>
      </w:r>
      <w:r w:rsidR="00C75705">
        <w:rPr>
          <w:rFonts w:ascii="Times New Roman" w:hAnsi="Times New Roman" w:cs="Times New Roman"/>
          <w:sz w:val="28"/>
          <w:szCs w:val="28"/>
        </w:rPr>
        <w:t xml:space="preserve"> 5,451</w:t>
      </w:r>
      <w:r>
        <w:rPr>
          <w:rFonts w:ascii="Times New Roman" w:hAnsi="Times New Roman" w:cs="Times New Roman"/>
          <w:sz w:val="28"/>
          <w:szCs w:val="28"/>
        </w:rPr>
        <w:t>млн.руб.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2120"/>
      </w:tblGrid>
      <w:tr w:rsidR="004D681C" w:rsidRPr="004D681C" w:rsidTr="009A545F">
        <w:tc>
          <w:tcPr>
            <w:tcW w:w="562" w:type="dxa"/>
          </w:tcPr>
          <w:p w:rsidR="009A545F" w:rsidRPr="00451D72" w:rsidRDefault="009A545F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9A545F" w:rsidRPr="00451D72" w:rsidRDefault="009A545F" w:rsidP="009A5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9A545F" w:rsidRPr="00451D72" w:rsidRDefault="009A545F" w:rsidP="003D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Ед.изм.</w:t>
            </w:r>
          </w:p>
        </w:tc>
        <w:tc>
          <w:tcPr>
            <w:tcW w:w="2120" w:type="dxa"/>
          </w:tcPr>
          <w:p w:rsidR="009A545F" w:rsidRPr="00451D72" w:rsidRDefault="009A545F" w:rsidP="003D22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D226F" w:rsidRPr="00451D7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D681C" w:rsidRPr="004D681C" w:rsidTr="009A545F">
        <w:tc>
          <w:tcPr>
            <w:tcW w:w="562" w:type="dxa"/>
          </w:tcPr>
          <w:p w:rsidR="009A545F" w:rsidRPr="00451D72" w:rsidRDefault="009A545F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9A545F" w:rsidRPr="00451D72" w:rsidRDefault="009A545F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Снижение  технических потерь электроэнергии при ее передаче по сетям организации</w:t>
            </w:r>
          </w:p>
        </w:tc>
        <w:tc>
          <w:tcPr>
            <w:tcW w:w="1843" w:type="dxa"/>
          </w:tcPr>
          <w:p w:rsidR="009A545F" w:rsidRPr="00451D72" w:rsidRDefault="009A545F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млн.кВт*ч</w:t>
            </w:r>
          </w:p>
        </w:tc>
        <w:tc>
          <w:tcPr>
            <w:tcW w:w="2120" w:type="dxa"/>
          </w:tcPr>
          <w:p w:rsidR="009A545F" w:rsidRPr="00451D72" w:rsidRDefault="001A73C6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0,722</w:t>
            </w:r>
          </w:p>
        </w:tc>
      </w:tr>
      <w:tr w:rsidR="004D681C" w:rsidRPr="004D681C" w:rsidTr="009A545F">
        <w:tc>
          <w:tcPr>
            <w:tcW w:w="562" w:type="dxa"/>
          </w:tcPr>
          <w:p w:rsidR="003D2DF1" w:rsidRPr="00451D72" w:rsidRDefault="003D2DF1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3D2DF1" w:rsidRPr="00451D72" w:rsidRDefault="003D2DF1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Показатель эконом</w:t>
            </w:r>
            <w:r w:rsidR="001A73C6" w:rsidRPr="00451D72">
              <w:rPr>
                <w:rFonts w:ascii="Times New Roman" w:hAnsi="Times New Roman" w:cs="Times New Roman"/>
                <w:sz w:val="20"/>
                <w:szCs w:val="20"/>
              </w:rPr>
              <w:t>ической эффективности мероприят</w:t>
            </w: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843" w:type="dxa"/>
          </w:tcPr>
          <w:p w:rsidR="003D2DF1" w:rsidRPr="00451D72" w:rsidRDefault="003D2DF1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2120" w:type="dxa"/>
          </w:tcPr>
          <w:p w:rsidR="003D2DF1" w:rsidRPr="00451D72" w:rsidRDefault="00C75705" w:rsidP="00A40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7,071</w:t>
            </w:r>
          </w:p>
        </w:tc>
      </w:tr>
      <w:tr w:rsidR="004D681C" w:rsidRPr="004D681C" w:rsidTr="009A545F">
        <w:tc>
          <w:tcPr>
            <w:tcW w:w="562" w:type="dxa"/>
          </w:tcPr>
          <w:p w:rsidR="003D2DF1" w:rsidRPr="00451D72" w:rsidRDefault="003D2DF1" w:rsidP="003D2D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</w:tcPr>
          <w:p w:rsidR="003D2DF1" w:rsidRPr="00451D72" w:rsidRDefault="003D2DF1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мероприятий</w:t>
            </w:r>
          </w:p>
        </w:tc>
        <w:tc>
          <w:tcPr>
            <w:tcW w:w="1843" w:type="dxa"/>
          </w:tcPr>
          <w:p w:rsidR="003D2DF1" w:rsidRPr="00451D72" w:rsidRDefault="003D2DF1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2120" w:type="dxa"/>
          </w:tcPr>
          <w:p w:rsidR="003D2DF1" w:rsidRPr="00451D72" w:rsidRDefault="00C75705" w:rsidP="00C504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5,451</w:t>
            </w:r>
          </w:p>
        </w:tc>
      </w:tr>
    </w:tbl>
    <w:p w:rsidR="00451D72" w:rsidRDefault="00451D72" w:rsidP="004D68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DF1" w:rsidRPr="004D681C" w:rsidRDefault="003D2DF1" w:rsidP="004D681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81C">
        <w:rPr>
          <w:rFonts w:ascii="Times New Roman" w:hAnsi="Times New Roman" w:cs="Times New Roman"/>
          <w:sz w:val="28"/>
          <w:szCs w:val="28"/>
        </w:rPr>
        <w:t xml:space="preserve">Фактическое значение объема снижения технических потерь электроэнергии </w:t>
      </w:r>
      <w:r w:rsidR="001A73C6" w:rsidRPr="004D681C">
        <w:rPr>
          <w:rFonts w:ascii="Times New Roman" w:hAnsi="Times New Roman" w:cs="Times New Roman"/>
          <w:sz w:val="28"/>
          <w:szCs w:val="28"/>
        </w:rPr>
        <w:t xml:space="preserve">не </w:t>
      </w:r>
      <w:r w:rsidRPr="004D681C">
        <w:rPr>
          <w:rFonts w:ascii="Times New Roman" w:hAnsi="Times New Roman" w:cs="Times New Roman"/>
          <w:sz w:val="28"/>
          <w:szCs w:val="28"/>
        </w:rPr>
        <w:t>превышает плановое значение целевого пока</w:t>
      </w:r>
      <w:r w:rsidR="00DC6D1F" w:rsidRPr="004D681C">
        <w:rPr>
          <w:rFonts w:ascii="Times New Roman" w:hAnsi="Times New Roman" w:cs="Times New Roman"/>
          <w:sz w:val="28"/>
          <w:szCs w:val="28"/>
        </w:rPr>
        <w:t>за</w:t>
      </w:r>
      <w:r w:rsidRPr="004D681C">
        <w:rPr>
          <w:rFonts w:ascii="Times New Roman" w:hAnsi="Times New Roman" w:cs="Times New Roman"/>
          <w:sz w:val="28"/>
          <w:szCs w:val="28"/>
        </w:rPr>
        <w:t xml:space="preserve">теля </w:t>
      </w:r>
      <w:r w:rsidR="00DC6D1F" w:rsidRPr="004D681C">
        <w:rPr>
          <w:rFonts w:ascii="Times New Roman" w:hAnsi="Times New Roman" w:cs="Times New Roman"/>
          <w:sz w:val="28"/>
          <w:szCs w:val="28"/>
        </w:rPr>
        <w:t>–</w:t>
      </w:r>
      <w:r w:rsidRPr="004D681C">
        <w:rPr>
          <w:rFonts w:ascii="Times New Roman" w:hAnsi="Times New Roman" w:cs="Times New Roman"/>
          <w:sz w:val="28"/>
          <w:szCs w:val="28"/>
        </w:rPr>
        <w:t xml:space="preserve"> </w:t>
      </w:r>
      <w:r w:rsidR="00DC6D1F" w:rsidRPr="004D681C">
        <w:rPr>
          <w:rFonts w:ascii="Times New Roman" w:hAnsi="Times New Roman" w:cs="Times New Roman"/>
          <w:sz w:val="28"/>
          <w:szCs w:val="28"/>
        </w:rPr>
        <w:t>1,119</w:t>
      </w:r>
      <w:r w:rsidR="004D681C">
        <w:rPr>
          <w:rFonts w:ascii="Times New Roman" w:hAnsi="Times New Roman" w:cs="Times New Roman"/>
          <w:sz w:val="28"/>
          <w:szCs w:val="28"/>
        </w:rPr>
        <w:t> </w:t>
      </w:r>
      <w:r w:rsidRPr="004D681C">
        <w:rPr>
          <w:rFonts w:ascii="Times New Roman" w:hAnsi="Times New Roman" w:cs="Times New Roman"/>
          <w:sz w:val="28"/>
          <w:szCs w:val="28"/>
        </w:rPr>
        <w:t>тыс.кВтч.</w:t>
      </w:r>
    </w:p>
    <w:p w:rsidR="009A545F" w:rsidRPr="004D681C" w:rsidRDefault="003D2DF1" w:rsidP="003D2DF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81C">
        <w:rPr>
          <w:rFonts w:ascii="Times New Roman" w:hAnsi="Times New Roman" w:cs="Times New Roman"/>
          <w:sz w:val="28"/>
          <w:szCs w:val="28"/>
        </w:rPr>
        <w:t>Экономический эффект мероприятий значительно превышает плановый в связи с использованием всех мероприятий в области энергосбережения</w:t>
      </w:r>
    </w:p>
    <w:p w:rsidR="003D226F" w:rsidRPr="003D226F" w:rsidRDefault="00A41A43" w:rsidP="003D226F">
      <w:pPr>
        <w:pStyle w:val="a3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81C">
        <w:rPr>
          <w:rFonts w:ascii="Times New Roman" w:hAnsi="Times New Roman" w:cs="Times New Roman"/>
          <w:sz w:val="28"/>
          <w:szCs w:val="28"/>
        </w:rPr>
        <w:t xml:space="preserve">Информация об экономических показателях реализации программы, в т.ч. фактических и плановых затрат на реализацию программы и сведения о фактических источниках финансирования программы приведены в </w:t>
      </w:r>
      <w:r w:rsidR="00451D72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1A43" w:rsidTr="00A41A43">
        <w:tc>
          <w:tcPr>
            <w:tcW w:w="2407" w:type="dxa"/>
            <w:vMerge w:val="restart"/>
          </w:tcPr>
          <w:p w:rsidR="00A41A43" w:rsidRPr="00451D72" w:rsidRDefault="00451D72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451D72" w:rsidRPr="00451D72" w:rsidRDefault="00451D72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A41A43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07" w:type="dxa"/>
          </w:tcPr>
          <w:p w:rsidR="00A41A43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07" w:type="dxa"/>
            <w:vMerge w:val="restart"/>
          </w:tcPr>
          <w:p w:rsidR="00A41A43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Отклонения в %</w:t>
            </w:r>
          </w:p>
        </w:tc>
      </w:tr>
      <w:tr w:rsidR="00A41A43" w:rsidTr="00A41A43">
        <w:tc>
          <w:tcPr>
            <w:tcW w:w="2407" w:type="dxa"/>
            <w:vMerge/>
          </w:tcPr>
          <w:p w:rsidR="00A41A43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A41A43" w:rsidRPr="00451D72" w:rsidRDefault="00A407C6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41A43" w:rsidRPr="00451D72">
              <w:rPr>
                <w:rFonts w:ascii="Times New Roman" w:hAnsi="Times New Roman" w:cs="Times New Roman"/>
                <w:sz w:val="20"/>
                <w:szCs w:val="20"/>
              </w:rPr>
              <w:t>лн.руб</w:t>
            </w:r>
          </w:p>
        </w:tc>
        <w:tc>
          <w:tcPr>
            <w:tcW w:w="2407" w:type="dxa"/>
          </w:tcPr>
          <w:p w:rsidR="00A41A43" w:rsidRPr="00451D72" w:rsidRDefault="00A407C6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41A43" w:rsidRPr="00451D72">
              <w:rPr>
                <w:rFonts w:ascii="Times New Roman" w:hAnsi="Times New Roman" w:cs="Times New Roman"/>
                <w:sz w:val="20"/>
                <w:szCs w:val="20"/>
              </w:rPr>
              <w:t>лн.руб</w:t>
            </w:r>
          </w:p>
        </w:tc>
        <w:tc>
          <w:tcPr>
            <w:tcW w:w="2407" w:type="dxa"/>
            <w:vMerge/>
          </w:tcPr>
          <w:p w:rsidR="00A41A43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A43" w:rsidTr="00A41A43">
        <w:tc>
          <w:tcPr>
            <w:tcW w:w="2407" w:type="dxa"/>
          </w:tcPr>
          <w:p w:rsidR="00A41A43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07" w:type="dxa"/>
          </w:tcPr>
          <w:p w:rsidR="00FB3461" w:rsidRPr="00451D72" w:rsidRDefault="00A41A43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51D72" w:rsidRPr="00451D7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07" w:type="dxa"/>
          </w:tcPr>
          <w:p w:rsidR="00A41A43" w:rsidRPr="00451D72" w:rsidRDefault="00C75705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5,451</w:t>
            </w:r>
          </w:p>
        </w:tc>
        <w:tc>
          <w:tcPr>
            <w:tcW w:w="2407" w:type="dxa"/>
          </w:tcPr>
          <w:p w:rsidR="00A41A43" w:rsidRPr="00451D72" w:rsidRDefault="00444B57" w:rsidP="00451D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D72" w:rsidRPr="00451D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1D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51D72" w:rsidRDefault="00451D72" w:rsidP="003D2DF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26F" w:rsidRDefault="003D226F" w:rsidP="003D2DF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в основном являются денежные средства, выделенные через  регулируемые тарифы по статье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 «вспомогательные материалы», на услуги по передаче электрической энергии.</w:t>
      </w:r>
    </w:p>
    <w:p w:rsidR="00A41A43" w:rsidRPr="004D681C" w:rsidRDefault="007525FA" w:rsidP="003D2DF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81C">
        <w:rPr>
          <w:rFonts w:ascii="Times New Roman" w:hAnsi="Times New Roman" w:cs="Times New Roman"/>
          <w:sz w:val="28"/>
          <w:szCs w:val="28"/>
        </w:rPr>
        <w:t>Расчет энергетических ресурсов на хозяйственные нужды за 2022год</w:t>
      </w:r>
      <w:r w:rsidR="00BB53A0" w:rsidRPr="004D681C">
        <w:rPr>
          <w:rFonts w:ascii="Times New Roman" w:hAnsi="Times New Roman" w:cs="Times New Roman"/>
          <w:sz w:val="28"/>
          <w:szCs w:val="28"/>
        </w:rPr>
        <w:t>,</w:t>
      </w:r>
      <w:r w:rsidRPr="004D681C">
        <w:rPr>
          <w:rFonts w:ascii="Times New Roman" w:hAnsi="Times New Roman" w:cs="Times New Roman"/>
          <w:sz w:val="28"/>
          <w:szCs w:val="28"/>
        </w:rPr>
        <w:t xml:space="preserve"> в </w:t>
      </w:r>
      <w:r w:rsidR="00BB53A0" w:rsidRPr="004D681C">
        <w:rPr>
          <w:rFonts w:ascii="Times New Roman" w:hAnsi="Times New Roman" w:cs="Times New Roman"/>
          <w:sz w:val="28"/>
          <w:szCs w:val="28"/>
        </w:rPr>
        <w:t>частности за аренду нежилых помещений административно- производственных помещений, расположенных по адресам: 420095, РТ, г.Казань ул.Ш.Усманова д.28а и 42124, РТ, г.Казань, ул.Меридианная д.1, производился исходя из калькуляционной стоимости согласно заключенным договорам.</w:t>
      </w:r>
    </w:p>
    <w:p w:rsidR="00333A13" w:rsidRDefault="003D226F" w:rsidP="0033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8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00089" w:rsidRPr="00D00089">
        <w:rPr>
          <w:rFonts w:ascii="Times New Roman" w:hAnsi="Times New Roman" w:cs="Times New Roman"/>
          <w:sz w:val="28"/>
          <w:szCs w:val="28"/>
        </w:rPr>
        <w:t>значи</w:t>
      </w:r>
      <w:r w:rsidRPr="00D00089">
        <w:rPr>
          <w:rFonts w:ascii="Times New Roman" w:hAnsi="Times New Roman" w:cs="Times New Roman"/>
          <w:sz w:val="28"/>
          <w:szCs w:val="28"/>
        </w:rPr>
        <w:t>мыми мероприятиями</w:t>
      </w:r>
      <w:r w:rsidR="0022645E" w:rsidRPr="00D00089">
        <w:rPr>
          <w:rFonts w:ascii="Times New Roman" w:hAnsi="Times New Roman" w:cs="Times New Roman"/>
          <w:sz w:val="28"/>
          <w:szCs w:val="28"/>
        </w:rPr>
        <w:t xml:space="preserve">, </w:t>
      </w:r>
      <w:r w:rsidRPr="00D00089">
        <w:rPr>
          <w:rFonts w:ascii="Times New Roman" w:hAnsi="Times New Roman" w:cs="Times New Roman"/>
          <w:sz w:val="28"/>
          <w:szCs w:val="28"/>
        </w:rPr>
        <w:t>для получения максимального экономического эффекта при минимальных затратах на их проведение являются</w:t>
      </w:r>
      <w:r w:rsidR="0022645E" w:rsidRPr="00D00089">
        <w:rPr>
          <w:rFonts w:ascii="Times New Roman" w:hAnsi="Times New Roman" w:cs="Times New Roman"/>
          <w:sz w:val="28"/>
          <w:szCs w:val="28"/>
        </w:rPr>
        <w:t xml:space="preserve"> отключение </w:t>
      </w:r>
      <w:r w:rsidRPr="00D00089">
        <w:rPr>
          <w:rFonts w:ascii="Times New Roman" w:hAnsi="Times New Roman" w:cs="Times New Roman"/>
          <w:sz w:val="28"/>
          <w:szCs w:val="28"/>
        </w:rPr>
        <w:t>в режиме малых нагрузок</w:t>
      </w:r>
      <w:r w:rsidR="00D00089" w:rsidRPr="00D00089">
        <w:rPr>
          <w:rFonts w:ascii="Times New Roman" w:hAnsi="Times New Roman" w:cs="Times New Roman"/>
          <w:sz w:val="28"/>
          <w:szCs w:val="28"/>
        </w:rPr>
        <w:t xml:space="preserve"> </w:t>
      </w:r>
      <w:r w:rsidR="0022645E" w:rsidRPr="00D00089">
        <w:rPr>
          <w:rFonts w:ascii="Times New Roman" w:hAnsi="Times New Roman" w:cs="Times New Roman"/>
          <w:sz w:val="28"/>
          <w:szCs w:val="28"/>
        </w:rPr>
        <w:t xml:space="preserve">трансформаторов </w:t>
      </w:r>
      <w:r w:rsidR="00D00089" w:rsidRPr="00D00089">
        <w:rPr>
          <w:rFonts w:ascii="Times New Roman" w:hAnsi="Times New Roman" w:cs="Times New Roman"/>
          <w:sz w:val="28"/>
          <w:szCs w:val="28"/>
        </w:rPr>
        <w:t>на подстанциях с двумя трансформаторами</w:t>
      </w:r>
      <w:r w:rsidR="0022645E" w:rsidRPr="00D00089">
        <w:rPr>
          <w:rFonts w:ascii="Times New Roman" w:hAnsi="Times New Roman" w:cs="Times New Roman"/>
          <w:sz w:val="28"/>
          <w:szCs w:val="28"/>
        </w:rPr>
        <w:t xml:space="preserve"> и </w:t>
      </w:r>
      <w:r w:rsidR="00D00089" w:rsidRPr="00D00089">
        <w:rPr>
          <w:rFonts w:ascii="Times New Roman" w:hAnsi="Times New Roman" w:cs="Times New Roman"/>
          <w:sz w:val="28"/>
          <w:szCs w:val="28"/>
        </w:rPr>
        <w:t>распределение равномерной нагрузки фаз трансформаторов.</w:t>
      </w:r>
    </w:p>
    <w:p w:rsidR="00385F16" w:rsidRDefault="00385F16" w:rsidP="007A392A">
      <w:pPr>
        <w:jc w:val="center"/>
        <w:rPr>
          <w:rFonts w:ascii="Times New Roman" w:hAnsi="Times New Roman" w:cs="Times New Roman"/>
          <w:sz w:val="20"/>
          <w:szCs w:val="20"/>
        </w:rPr>
        <w:sectPr w:rsidR="00385F16" w:rsidSect="00C504C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85F16" w:rsidRDefault="00385F16" w:rsidP="00385F16">
      <w:pPr>
        <w:jc w:val="right"/>
      </w:pPr>
      <w:r>
        <w:lastRenderedPageBreak/>
        <w:t xml:space="preserve">Таблица №1 </w:t>
      </w:r>
    </w:p>
    <w:p w:rsidR="00385F16" w:rsidRPr="004A0D43" w:rsidRDefault="00385F16" w:rsidP="00385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D43">
        <w:rPr>
          <w:rFonts w:ascii="Times New Roman" w:hAnsi="Times New Roman" w:cs="Times New Roman"/>
          <w:sz w:val="28"/>
          <w:szCs w:val="28"/>
        </w:rPr>
        <w:t>Отчет о достижении целевых и прочих показателей программы энергосбережения и повышения энергетической эффективности территориальных сетевых организаций</w:t>
      </w: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671"/>
        <w:gridCol w:w="2018"/>
        <w:gridCol w:w="708"/>
        <w:gridCol w:w="993"/>
        <w:gridCol w:w="992"/>
        <w:gridCol w:w="779"/>
        <w:gridCol w:w="780"/>
        <w:gridCol w:w="709"/>
        <w:gridCol w:w="709"/>
        <w:gridCol w:w="992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385F16" w:rsidTr="007A392A">
        <w:trPr>
          <w:trHeight w:val="540"/>
        </w:trPr>
        <w:tc>
          <w:tcPr>
            <w:tcW w:w="671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№пп</w:t>
            </w:r>
          </w:p>
        </w:tc>
        <w:tc>
          <w:tcPr>
            <w:tcW w:w="2018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708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Средние показатели по отрасли</w:t>
            </w:r>
          </w:p>
        </w:tc>
        <w:tc>
          <w:tcPr>
            <w:tcW w:w="992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Лучшие мировые показатели по отрасли</w:t>
            </w:r>
          </w:p>
        </w:tc>
        <w:tc>
          <w:tcPr>
            <w:tcW w:w="779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Базовый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</w:tc>
        <w:tc>
          <w:tcPr>
            <w:tcW w:w="2198" w:type="dxa"/>
            <w:gridSpan w:val="3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Плановые значения целевых и прочих показателей по годам</w:t>
            </w:r>
          </w:p>
        </w:tc>
        <w:tc>
          <w:tcPr>
            <w:tcW w:w="2551" w:type="dxa"/>
            <w:gridSpan w:val="3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Фактические значения целевых и прочих показателей по годам</w:t>
            </w:r>
          </w:p>
        </w:tc>
        <w:tc>
          <w:tcPr>
            <w:tcW w:w="2126" w:type="dxa"/>
            <w:gridSpan w:val="3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Отклонение, ед</w:t>
            </w:r>
          </w:p>
        </w:tc>
        <w:tc>
          <w:tcPr>
            <w:tcW w:w="2127" w:type="dxa"/>
            <w:gridSpan w:val="3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</w:tr>
      <w:tr w:rsidR="00385F16" w:rsidTr="007A392A">
        <w:trPr>
          <w:trHeight w:val="340"/>
        </w:trPr>
        <w:tc>
          <w:tcPr>
            <w:tcW w:w="671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85F16" w:rsidRPr="000E6077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85F16" w:rsidRPr="00146EBA" w:rsidRDefault="00385F16" w:rsidP="007A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85F16" w:rsidTr="007A392A">
        <w:tc>
          <w:tcPr>
            <w:tcW w:w="671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2018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708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993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992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77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780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992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850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708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16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17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16715F">
              <w:rPr>
                <w:sz w:val="12"/>
                <w:szCs w:val="12"/>
                <w:lang w:val="en-US"/>
              </w:rPr>
              <w:t>18</w:t>
            </w:r>
          </w:p>
        </w:tc>
      </w:tr>
      <w:tr w:rsidR="00385F16" w:rsidTr="007A392A">
        <w:trPr>
          <w:trHeight w:val="427"/>
        </w:trPr>
        <w:tc>
          <w:tcPr>
            <w:tcW w:w="671" w:type="dxa"/>
          </w:tcPr>
          <w:p w:rsidR="00385F16" w:rsidRPr="0016715F" w:rsidRDefault="00385F16" w:rsidP="007A392A">
            <w:pPr>
              <w:rPr>
                <w:sz w:val="16"/>
                <w:szCs w:val="16"/>
                <w:lang w:val="en-US"/>
              </w:rPr>
            </w:pPr>
            <w:r w:rsidRPr="0016715F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201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Целевые показатели</w:t>
            </w: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</w:tr>
      <w:tr w:rsidR="00385F16" w:rsidTr="007A392A">
        <w:trPr>
          <w:trHeight w:val="1429"/>
        </w:trPr>
        <w:tc>
          <w:tcPr>
            <w:tcW w:w="671" w:type="dxa"/>
            <w:vMerge w:val="restart"/>
          </w:tcPr>
          <w:p w:rsidR="00385F16" w:rsidRPr="0016715F" w:rsidRDefault="00385F16" w:rsidP="007A392A">
            <w:pPr>
              <w:rPr>
                <w:sz w:val="16"/>
                <w:szCs w:val="16"/>
                <w:lang w:val="en-US"/>
              </w:rPr>
            </w:pPr>
            <w:r w:rsidRPr="0016715F">
              <w:rPr>
                <w:sz w:val="16"/>
                <w:szCs w:val="16"/>
                <w:lang w:val="en-US"/>
              </w:rPr>
              <w:t>1.1.</w:t>
            </w:r>
          </w:p>
        </w:tc>
        <w:tc>
          <w:tcPr>
            <w:tcW w:w="2018" w:type="dxa"/>
            <w:vMerge w:val="restart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удельного технологического расхода электрической энергии при ее передаче по электрическим сетям относительно уровня технологических потерь электрической энергии, установленного в соответствии с законодательством</w:t>
            </w: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тыс. кВтч</w:t>
            </w:r>
          </w:p>
        </w:tc>
        <w:tc>
          <w:tcPr>
            <w:tcW w:w="993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2,302</w:t>
            </w:r>
          </w:p>
        </w:tc>
        <w:tc>
          <w:tcPr>
            <w:tcW w:w="780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1,119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0,989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0,989</w:t>
            </w: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0,722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0,397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jc w:val="center"/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jc w:val="center"/>
              <w:rPr>
                <w:sz w:val="16"/>
                <w:szCs w:val="16"/>
              </w:rPr>
            </w:pPr>
          </w:p>
          <w:p w:rsidR="00385F16" w:rsidRPr="0016715F" w:rsidRDefault="00385F16" w:rsidP="007A392A">
            <w:pPr>
              <w:jc w:val="center"/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35,5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sz w:val="16"/>
                <w:szCs w:val="16"/>
                <w:highlight w:val="yellow"/>
              </w:rPr>
            </w:pPr>
          </w:p>
        </w:tc>
      </w:tr>
      <w:tr w:rsidR="00385F16" w:rsidRPr="00146EBA" w:rsidTr="007A392A">
        <w:tc>
          <w:tcPr>
            <w:tcW w:w="671" w:type="dxa"/>
            <w:vMerge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80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85F16" w:rsidRPr="00146EBA" w:rsidTr="007A392A">
        <w:tc>
          <w:tcPr>
            <w:tcW w:w="671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1.2.</w:t>
            </w:r>
          </w:p>
        </w:tc>
        <w:tc>
          <w:tcPr>
            <w:tcW w:w="201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Оснащенность зданий, строений, сооружений, находящихся в собственности электросетевых организаций, приборами учета электрической энергии.</w:t>
            </w: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385F16" w:rsidRPr="0016715F" w:rsidRDefault="00385F16" w:rsidP="007A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85F16" w:rsidRPr="00146EBA" w:rsidTr="007A392A">
        <w:tc>
          <w:tcPr>
            <w:tcW w:w="671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1.3.</w:t>
            </w:r>
          </w:p>
        </w:tc>
        <w:tc>
          <w:tcPr>
            <w:tcW w:w="201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использования осветительных устройств с использованием светодиодов в общем объёме используемых осветительных устройств</w:t>
            </w: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80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85F16" w:rsidRPr="00146EBA" w:rsidTr="007A392A">
        <w:tc>
          <w:tcPr>
            <w:tcW w:w="671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  <w:r w:rsidRPr="0016715F">
              <w:rPr>
                <w:sz w:val="16"/>
                <w:szCs w:val="16"/>
              </w:rPr>
              <w:t>1.4.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приборами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системой удаленного считывания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93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80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5F16" w:rsidRPr="0016715F" w:rsidRDefault="00385F16" w:rsidP="007A3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5F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9" w:type="dxa"/>
          </w:tcPr>
          <w:p w:rsidR="00385F16" w:rsidRPr="0016715F" w:rsidRDefault="00385F16" w:rsidP="007A392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385F16" w:rsidRDefault="00385F16" w:rsidP="00385F16"/>
    <w:p w:rsidR="00385F16" w:rsidRDefault="00385F16" w:rsidP="00385F16">
      <w:pPr>
        <w:tabs>
          <w:tab w:val="left" w:pos="142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85F16" w:rsidRDefault="00385F16" w:rsidP="00385F16">
      <w:pPr>
        <w:tabs>
          <w:tab w:val="left" w:pos="142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85F16" w:rsidRDefault="00385F16" w:rsidP="00385F16">
      <w:pPr>
        <w:ind w:left="-142" w:firstLine="142"/>
        <w:jc w:val="right"/>
      </w:pPr>
      <w:r>
        <w:lastRenderedPageBreak/>
        <w:t>Таблица № 2</w:t>
      </w:r>
    </w:p>
    <w:p w:rsidR="00385F16" w:rsidRPr="004A0D43" w:rsidRDefault="00385F16" w:rsidP="00385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D43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мероприятий, основной целью которых является</w:t>
      </w:r>
      <w:r w:rsidRPr="004A0D43">
        <w:rPr>
          <w:rFonts w:ascii="Times New Roman" w:hAnsi="Times New Roman" w:cs="Times New Roman"/>
          <w:sz w:val="28"/>
          <w:szCs w:val="28"/>
        </w:rPr>
        <w:t xml:space="preserve"> энергосбережени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D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A0D4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D4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территориальных сетевых организаций</w:t>
      </w:r>
    </w:p>
    <w:tbl>
      <w:tblPr>
        <w:tblStyle w:val="aa"/>
        <w:tblW w:w="15730" w:type="dxa"/>
        <w:tblLayout w:type="fixed"/>
        <w:tblLook w:val="04A0" w:firstRow="1" w:lastRow="0" w:firstColumn="1" w:lastColumn="0" w:noHBand="0" w:noVBand="1"/>
      </w:tblPr>
      <w:tblGrid>
        <w:gridCol w:w="671"/>
        <w:gridCol w:w="1876"/>
        <w:gridCol w:w="567"/>
        <w:gridCol w:w="709"/>
        <w:gridCol w:w="567"/>
        <w:gridCol w:w="708"/>
        <w:gridCol w:w="567"/>
        <w:gridCol w:w="567"/>
        <w:gridCol w:w="709"/>
        <w:gridCol w:w="567"/>
        <w:gridCol w:w="567"/>
        <w:gridCol w:w="567"/>
        <w:gridCol w:w="709"/>
        <w:gridCol w:w="708"/>
        <w:gridCol w:w="567"/>
        <w:gridCol w:w="568"/>
        <w:gridCol w:w="708"/>
        <w:gridCol w:w="567"/>
        <w:gridCol w:w="567"/>
        <w:gridCol w:w="709"/>
        <w:gridCol w:w="709"/>
        <w:gridCol w:w="709"/>
        <w:gridCol w:w="567"/>
      </w:tblGrid>
      <w:tr w:rsidR="00385F16" w:rsidTr="007A392A">
        <w:trPr>
          <w:trHeight w:val="384"/>
        </w:trPr>
        <w:tc>
          <w:tcPr>
            <w:tcW w:w="671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B1">
              <w:rPr>
                <w:rFonts w:ascii="Times New Roman" w:hAnsi="Times New Roman" w:cs="Times New Roman"/>
                <w:sz w:val="20"/>
                <w:szCs w:val="20"/>
              </w:rPr>
              <w:t>№пп</w:t>
            </w:r>
          </w:p>
        </w:tc>
        <w:tc>
          <w:tcPr>
            <w:tcW w:w="1876" w:type="dxa"/>
            <w:vMerge w:val="restart"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  <w:gridSpan w:val="5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выполнения</w:t>
            </w:r>
          </w:p>
        </w:tc>
        <w:tc>
          <w:tcPr>
            <w:tcW w:w="7371" w:type="dxa"/>
            <w:gridSpan w:val="12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</w:t>
            </w:r>
          </w:p>
        </w:tc>
        <w:tc>
          <w:tcPr>
            <w:tcW w:w="2694" w:type="dxa"/>
            <w:gridSpan w:val="4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(план, млн.руб. (без НДС)</w:t>
            </w:r>
          </w:p>
        </w:tc>
      </w:tr>
      <w:tr w:rsidR="00385F16" w:rsidTr="007A392A">
        <w:trPr>
          <w:trHeight w:val="345"/>
        </w:trPr>
        <w:tc>
          <w:tcPr>
            <w:tcW w:w="671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  <w:tc>
          <w:tcPr>
            <w:tcW w:w="1276" w:type="dxa"/>
            <w:gridSpan w:val="2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gridSpan w:val="2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86" w:type="dxa"/>
            <w:gridSpan w:val="6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6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2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85F16" w:rsidTr="007A392A">
        <w:trPr>
          <w:trHeight w:val="1261"/>
        </w:trPr>
        <w:tc>
          <w:tcPr>
            <w:tcW w:w="671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708" w:type="dxa"/>
            <w:vMerge w:val="restart"/>
            <w:textDirection w:val="btLr"/>
          </w:tcPr>
          <w:p w:rsidR="00385F16" w:rsidRPr="00044C5F" w:rsidRDefault="00385F16" w:rsidP="007A392A">
            <w:pPr>
              <w:ind w:left="113" w:right="113"/>
              <w:rPr>
                <w:sz w:val="20"/>
                <w:szCs w:val="20"/>
              </w:rPr>
            </w:pPr>
            <w:r w:rsidRPr="00044C5F">
              <w:rPr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385F16" w:rsidRPr="00044C5F" w:rsidRDefault="00385F16" w:rsidP="007A39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4C5F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843" w:type="dxa"/>
            <w:gridSpan w:val="3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6">
              <w:rPr>
                <w:rFonts w:ascii="Times New Roman" w:hAnsi="Times New Roman" w:cs="Times New Roman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1843" w:type="dxa"/>
            <w:gridSpan w:val="3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6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1843" w:type="dxa"/>
            <w:gridSpan w:val="3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6">
              <w:rPr>
                <w:rFonts w:ascii="Times New Roman" w:hAnsi="Times New Roman" w:cs="Times New Roman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1842" w:type="dxa"/>
            <w:gridSpan w:val="3"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6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709" w:type="dxa"/>
            <w:vMerge w:val="restart"/>
            <w:textDirection w:val="btLr"/>
          </w:tcPr>
          <w:p w:rsidR="00385F16" w:rsidRPr="008C6EAD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AD">
              <w:rPr>
                <w:rFonts w:ascii="Times New Roman" w:hAnsi="Times New Roman" w:cs="Times New Roman"/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385F16" w:rsidRPr="008C6EAD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AD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709" w:type="dxa"/>
            <w:vMerge w:val="restart"/>
            <w:textDirection w:val="btLr"/>
          </w:tcPr>
          <w:p w:rsidR="00385F16" w:rsidRPr="008C6EAD" w:rsidRDefault="00385F16" w:rsidP="007A392A">
            <w:pPr>
              <w:ind w:left="113" w:right="113"/>
              <w:rPr>
                <w:sz w:val="20"/>
                <w:szCs w:val="20"/>
              </w:rPr>
            </w:pPr>
            <w:r w:rsidRPr="008C6EAD">
              <w:rPr>
                <w:sz w:val="20"/>
                <w:szCs w:val="20"/>
              </w:rPr>
              <w:t>Всего накопительным итогом за годы реализации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385F16" w:rsidRPr="008C6EAD" w:rsidRDefault="00385F16" w:rsidP="007A39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6EAD">
              <w:rPr>
                <w:sz w:val="20"/>
                <w:szCs w:val="20"/>
              </w:rPr>
              <w:t>В отчетном году</w:t>
            </w:r>
          </w:p>
        </w:tc>
      </w:tr>
      <w:tr w:rsidR="00385F16" w:rsidTr="007A392A">
        <w:trPr>
          <w:cantSplit/>
          <w:trHeight w:val="3678"/>
        </w:trPr>
        <w:tc>
          <w:tcPr>
            <w:tcW w:w="671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385F16" w:rsidRPr="00D904B1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5F16" w:rsidRDefault="00385F16" w:rsidP="007A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5F16" w:rsidRPr="00044C5F" w:rsidRDefault="00385F16" w:rsidP="007A39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5F16" w:rsidRPr="00044C5F" w:rsidRDefault="00385F16" w:rsidP="007A39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709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т у.т.</w:t>
            </w: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млн.руб.</w:t>
            </w: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т у.т.</w:t>
            </w:r>
          </w:p>
        </w:tc>
        <w:tc>
          <w:tcPr>
            <w:tcW w:w="709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млн.руб.</w:t>
            </w:r>
          </w:p>
        </w:tc>
        <w:tc>
          <w:tcPr>
            <w:tcW w:w="708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т у.т.</w:t>
            </w:r>
          </w:p>
        </w:tc>
        <w:tc>
          <w:tcPr>
            <w:tcW w:w="568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млн.руб.</w:t>
            </w:r>
          </w:p>
        </w:tc>
        <w:tc>
          <w:tcPr>
            <w:tcW w:w="708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т у.т.</w:t>
            </w:r>
          </w:p>
        </w:tc>
        <w:tc>
          <w:tcPr>
            <w:tcW w:w="567" w:type="dxa"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Численное значение экономии, млн.руб.</w:t>
            </w:r>
          </w:p>
        </w:tc>
        <w:tc>
          <w:tcPr>
            <w:tcW w:w="709" w:type="dxa"/>
            <w:vMerge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85F16" w:rsidRPr="00D904B1" w:rsidRDefault="00385F16" w:rsidP="007A39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6" w:rsidTr="007A392A">
        <w:tc>
          <w:tcPr>
            <w:tcW w:w="671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76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 w:rsidRPr="004A0D4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 w:rsidRPr="004A0D4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:rsidR="00385F16" w:rsidRPr="004A0D43" w:rsidRDefault="00385F16" w:rsidP="007A39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85F16" w:rsidRPr="00DD2213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85F16" w:rsidTr="007A392A">
        <w:tc>
          <w:tcPr>
            <w:tcW w:w="671" w:type="dxa"/>
          </w:tcPr>
          <w:p w:rsidR="00385F16" w:rsidRPr="002A6258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59" w:type="dxa"/>
            <w:gridSpan w:val="22"/>
          </w:tcPr>
          <w:p w:rsidR="00385F16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программы снижения удельного технологического расхода электрической энергии при ее передаче по электрическим сетям.</w:t>
            </w:r>
          </w:p>
        </w:tc>
      </w:tr>
      <w:tr w:rsidR="00385F16" w:rsidTr="007A392A">
        <w:trPr>
          <w:trHeight w:val="488"/>
        </w:trPr>
        <w:tc>
          <w:tcPr>
            <w:tcW w:w="671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</w:rPr>
            </w:pPr>
            <w:r w:rsidRPr="00720DB3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1</w:t>
            </w:r>
            <w:r w:rsidRPr="00720DB3">
              <w:rPr>
                <w:sz w:val="12"/>
                <w:szCs w:val="12"/>
              </w:rPr>
              <w:t>.</w:t>
            </w:r>
          </w:p>
        </w:tc>
        <w:tc>
          <w:tcPr>
            <w:tcW w:w="1876" w:type="dxa"/>
          </w:tcPr>
          <w:p w:rsidR="00385F16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Модернизация</w:t>
            </w:r>
          </w:p>
          <w:p w:rsidR="00385F16" w:rsidRPr="00242703" w:rsidRDefault="00385F16" w:rsidP="007A392A">
            <w:pPr>
              <w:jc w:val="center"/>
              <w:rPr>
                <w:sz w:val="12"/>
                <w:szCs w:val="12"/>
              </w:rPr>
            </w:pPr>
            <w:r w:rsidRPr="00242703">
              <w:rPr>
                <w:sz w:val="12"/>
                <w:szCs w:val="12"/>
              </w:rPr>
              <w:t xml:space="preserve"> РУ-10/6/04кВ</w:t>
            </w:r>
            <w:r>
              <w:rPr>
                <w:sz w:val="12"/>
                <w:szCs w:val="12"/>
              </w:rPr>
              <w:t xml:space="preserve"> в РП  247 – ЖК «Мой Ритм»</w:t>
            </w:r>
          </w:p>
        </w:tc>
        <w:tc>
          <w:tcPr>
            <w:tcW w:w="567" w:type="dxa"/>
          </w:tcPr>
          <w:p w:rsidR="00385F16" w:rsidRPr="00242703" w:rsidRDefault="00385F16" w:rsidP="007A392A">
            <w:pPr>
              <w:jc w:val="center"/>
              <w:rPr>
                <w:sz w:val="12"/>
                <w:szCs w:val="12"/>
              </w:rPr>
            </w:pPr>
            <w:r w:rsidRPr="00242703">
              <w:rPr>
                <w:sz w:val="12"/>
                <w:szCs w:val="12"/>
              </w:rPr>
              <w:t>шт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0,016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0,389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0,016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0,389</w:t>
            </w:r>
          </w:p>
        </w:tc>
        <w:tc>
          <w:tcPr>
            <w:tcW w:w="708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917E91">
              <w:rPr>
                <w:sz w:val="12"/>
                <w:szCs w:val="12"/>
                <w:lang w:val="en-US"/>
              </w:rPr>
              <w:t>0.628</w:t>
            </w:r>
          </w:p>
        </w:tc>
        <w:tc>
          <w:tcPr>
            <w:tcW w:w="567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917E91">
              <w:rPr>
                <w:sz w:val="12"/>
                <w:szCs w:val="12"/>
                <w:lang w:val="en-US"/>
              </w:rPr>
              <w:t>0.0772</w:t>
            </w:r>
          </w:p>
        </w:tc>
        <w:tc>
          <w:tcPr>
            <w:tcW w:w="568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917E91">
              <w:rPr>
                <w:sz w:val="12"/>
                <w:szCs w:val="12"/>
                <w:lang w:val="en-US"/>
              </w:rPr>
              <w:t>1.8243</w:t>
            </w:r>
          </w:p>
        </w:tc>
        <w:tc>
          <w:tcPr>
            <w:tcW w:w="708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917E91">
              <w:rPr>
                <w:sz w:val="12"/>
                <w:szCs w:val="12"/>
                <w:lang w:val="en-US"/>
              </w:rPr>
              <w:t>0.628</w:t>
            </w:r>
          </w:p>
        </w:tc>
        <w:tc>
          <w:tcPr>
            <w:tcW w:w="567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917E91">
              <w:rPr>
                <w:sz w:val="12"/>
                <w:szCs w:val="12"/>
                <w:lang w:val="en-US"/>
              </w:rPr>
              <w:t>0.0772</w:t>
            </w:r>
          </w:p>
        </w:tc>
        <w:tc>
          <w:tcPr>
            <w:tcW w:w="567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 w:rsidRPr="00917E91">
              <w:rPr>
                <w:sz w:val="12"/>
                <w:szCs w:val="12"/>
                <w:lang w:val="en-US"/>
              </w:rPr>
              <w:t>1.8243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3,6585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3,6585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5,279</w:t>
            </w:r>
          </w:p>
        </w:tc>
        <w:tc>
          <w:tcPr>
            <w:tcW w:w="567" w:type="dxa"/>
          </w:tcPr>
          <w:p w:rsidR="00385F16" w:rsidRPr="00242703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5,279</w:t>
            </w:r>
          </w:p>
        </w:tc>
      </w:tr>
      <w:tr w:rsidR="00385F16" w:rsidTr="007A392A">
        <w:tc>
          <w:tcPr>
            <w:tcW w:w="671" w:type="dxa"/>
          </w:tcPr>
          <w:p w:rsidR="00385F16" w:rsidRPr="00DD0B82" w:rsidRDefault="00385F16" w:rsidP="007A392A">
            <w:pPr>
              <w:jc w:val="center"/>
              <w:rPr>
                <w:sz w:val="20"/>
                <w:szCs w:val="20"/>
                <w:highlight w:val="yellow"/>
              </w:rPr>
            </w:pPr>
            <w:r w:rsidRPr="00121569">
              <w:rPr>
                <w:sz w:val="20"/>
                <w:szCs w:val="20"/>
              </w:rPr>
              <w:t>2</w:t>
            </w:r>
          </w:p>
        </w:tc>
        <w:tc>
          <w:tcPr>
            <w:tcW w:w="15059" w:type="dxa"/>
            <w:gridSpan w:val="22"/>
          </w:tcPr>
          <w:p w:rsidR="00385F16" w:rsidRDefault="00385F16" w:rsidP="007A3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</w:tr>
      <w:tr w:rsidR="00385F16" w:rsidTr="007A392A">
        <w:trPr>
          <w:trHeight w:val="389"/>
        </w:trPr>
        <w:tc>
          <w:tcPr>
            <w:tcW w:w="671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720DB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1876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</w:rPr>
            </w:pPr>
            <w:r w:rsidRPr="00720DB3">
              <w:rPr>
                <w:sz w:val="12"/>
                <w:szCs w:val="12"/>
              </w:rPr>
              <w:t>Выравнивание нагрузок фаз в электрических сетях 0,38 кВ</w:t>
            </w:r>
          </w:p>
        </w:tc>
        <w:tc>
          <w:tcPr>
            <w:tcW w:w="567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</w:rPr>
            </w:pPr>
            <w:r w:rsidRPr="00720DB3">
              <w:rPr>
                <w:sz w:val="12"/>
                <w:szCs w:val="12"/>
              </w:rPr>
              <w:t>Тыс.кВтч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 w:rsidRPr="00224403">
              <w:rPr>
                <w:sz w:val="14"/>
                <w:szCs w:val="14"/>
              </w:rPr>
              <w:t>48-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 w:rsidRPr="00224403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1,869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0,2322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0,2322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0,629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0,0774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1,868</w:t>
            </w:r>
          </w:p>
        </w:tc>
        <w:tc>
          <w:tcPr>
            <w:tcW w:w="708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786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0,0967</w:t>
            </w:r>
          </w:p>
        </w:tc>
        <w:tc>
          <w:tcPr>
            <w:tcW w:w="568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2,2833</w:t>
            </w:r>
          </w:p>
        </w:tc>
        <w:tc>
          <w:tcPr>
            <w:tcW w:w="708" w:type="dxa"/>
          </w:tcPr>
          <w:p w:rsidR="00385F16" w:rsidRPr="00917E91" w:rsidRDefault="00385F16" w:rsidP="007A392A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786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0,0967</w:t>
            </w:r>
          </w:p>
        </w:tc>
        <w:tc>
          <w:tcPr>
            <w:tcW w:w="567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2,2833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-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85F16" w:rsidRPr="00D412C2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85F16" w:rsidRPr="00EA6638" w:rsidRDefault="00385F16" w:rsidP="007A39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385F16" w:rsidTr="007A392A">
        <w:tc>
          <w:tcPr>
            <w:tcW w:w="671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2.2.</w:t>
            </w:r>
          </w:p>
        </w:tc>
        <w:tc>
          <w:tcPr>
            <w:tcW w:w="1876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  <w:highlight w:val="yellow"/>
              </w:rPr>
            </w:pPr>
            <w:r w:rsidRPr="00720DB3">
              <w:rPr>
                <w:sz w:val="12"/>
                <w:szCs w:val="12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567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</w:rPr>
            </w:pPr>
            <w:r w:rsidRPr="00720DB3">
              <w:rPr>
                <w:sz w:val="12"/>
                <w:szCs w:val="12"/>
              </w:rPr>
              <w:t>шт</w:t>
            </w:r>
          </w:p>
        </w:tc>
        <w:tc>
          <w:tcPr>
            <w:tcW w:w="709" w:type="dxa"/>
          </w:tcPr>
          <w:p w:rsidR="00385F16" w:rsidRPr="00224403" w:rsidRDefault="00385F16" w:rsidP="007A392A">
            <w:pPr>
              <w:jc w:val="center"/>
              <w:rPr>
                <w:sz w:val="14"/>
                <w:szCs w:val="14"/>
              </w:rPr>
            </w:pPr>
            <w:r w:rsidRPr="00224403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 w:rsidRPr="00224403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</w:t>
            </w:r>
          </w:p>
        </w:tc>
        <w:tc>
          <w:tcPr>
            <w:tcW w:w="709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0,1329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3,2076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0,36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0,0443</w:t>
            </w:r>
          </w:p>
        </w:tc>
        <w:tc>
          <w:tcPr>
            <w:tcW w:w="709" w:type="dxa"/>
          </w:tcPr>
          <w:p w:rsidR="00385F16" w:rsidRDefault="00385F16" w:rsidP="007A392A">
            <w:r>
              <w:rPr>
                <w:sz w:val="12"/>
                <w:szCs w:val="12"/>
              </w:rPr>
              <w:t>1,0692</w:t>
            </w:r>
          </w:p>
        </w:tc>
        <w:tc>
          <w:tcPr>
            <w:tcW w:w="708" w:type="dxa"/>
          </w:tcPr>
          <w:p w:rsidR="00385F16" w:rsidRDefault="00385F16" w:rsidP="007A392A"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</w:tcPr>
          <w:p w:rsidR="00385F16" w:rsidRDefault="00385F16" w:rsidP="007A39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385F16" w:rsidRDefault="00385F16" w:rsidP="007A392A"/>
        </w:tc>
        <w:tc>
          <w:tcPr>
            <w:tcW w:w="708" w:type="dxa"/>
          </w:tcPr>
          <w:p w:rsidR="00385F16" w:rsidRDefault="00385F16" w:rsidP="007A392A"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385F16" w:rsidRDefault="00385F16" w:rsidP="007A39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385F16" w:rsidRDefault="00385F16" w:rsidP="007A392A"/>
        </w:tc>
        <w:tc>
          <w:tcPr>
            <w:tcW w:w="709" w:type="dxa"/>
          </w:tcPr>
          <w:p w:rsidR="00385F16" w:rsidRDefault="00385F16" w:rsidP="007A392A">
            <w:r w:rsidRPr="00663E75">
              <w:rPr>
                <w:sz w:val="12"/>
                <w:szCs w:val="12"/>
              </w:rPr>
              <w:t>0-</w:t>
            </w:r>
          </w:p>
        </w:tc>
        <w:tc>
          <w:tcPr>
            <w:tcW w:w="709" w:type="dxa"/>
          </w:tcPr>
          <w:p w:rsidR="00385F16" w:rsidRDefault="00385F16" w:rsidP="007A392A">
            <w:r w:rsidRPr="00663E75">
              <w:rPr>
                <w:sz w:val="12"/>
                <w:szCs w:val="12"/>
              </w:rPr>
              <w:t>0-</w:t>
            </w:r>
          </w:p>
        </w:tc>
        <w:tc>
          <w:tcPr>
            <w:tcW w:w="709" w:type="dxa"/>
          </w:tcPr>
          <w:p w:rsidR="00385F16" w:rsidRDefault="00385F16" w:rsidP="007A392A">
            <w:r w:rsidRPr="00663E75">
              <w:rPr>
                <w:sz w:val="12"/>
                <w:szCs w:val="12"/>
              </w:rPr>
              <w:t>0-</w:t>
            </w:r>
          </w:p>
        </w:tc>
        <w:tc>
          <w:tcPr>
            <w:tcW w:w="567" w:type="dxa"/>
          </w:tcPr>
          <w:p w:rsidR="00385F16" w:rsidRDefault="00385F16" w:rsidP="007A392A">
            <w:r w:rsidRPr="00663E75">
              <w:rPr>
                <w:sz w:val="12"/>
                <w:szCs w:val="12"/>
              </w:rPr>
              <w:t>0-</w:t>
            </w:r>
          </w:p>
        </w:tc>
      </w:tr>
      <w:tr w:rsidR="00385F16" w:rsidTr="007A392A">
        <w:tc>
          <w:tcPr>
            <w:tcW w:w="671" w:type="dxa"/>
          </w:tcPr>
          <w:p w:rsidR="00385F16" w:rsidRPr="009134B3" w:rsidRDefault="00385F16" w:rsidP="007A3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9" w:type="dxa"/>
            <w:gridSpan w:val="22"/>
          </w:tcPr>
          <w:p w:rsidR="00385F16" w:rsidRPr="009134B3" w:rsidRDefault="00385F16" w:rsidP="007A392A">
            <w:pPr>
              <w:jc w:val="center"/>
              <w:rPr>
                <w:sz w:val="20"/>
                <w:szCs w:val="20"/>
              </w:rPr>
            </w:pPr>
          </w:p>
        </w:tc>
      </w:tr>
      <w:tr w:rsidR="00385F16" w:rsidTr="007A392A">
        <w:tc>
          <w:tcPr>
            <w:tcW w:w="671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  <w:highlight w:val="yellow"/>
              </w:rPr>
            </w:pPr>
            <w:r>
              <w:rPr>
                <w:sz w:val="12"/>
                <w:szCs w:val="12"/>
              </w:rPr>
              <w:t>2.3.</w:t>
            </w:r>
          </w:p>
        </w:tc>
        <w:tc>
          <w:tcPr>
            <w:tcW w:w="1876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  <w:highlight w:val="yellow"/>
              </w:rPr>
            </w:pPr>
            <w:r w:rsidRPr="00217F36">
              <w:rPr>
                <w:sz w:val="12"/>
                <w:szCs w:val="12"/>
              </w:rPr>
              <w:t xml:space="preserve">Обеспечение приборами учета </w:t>
            </w:r>
            <w:r>
              <w:rPr>
                <w:sz w:val="12"/>
                <w:szCs w:val="12"/>
                <w:lang w:val="en-US"/>
              </w:rPr>
              <w:t>c</w:t>
            </w:r>
            <w:r w:rsidRPr="00917E91">
              <w:rPr>
                <w:sz w:val="12"/>
                <w:szCs w:val="12"/>
              </w:rPr>
              <w:t xml:space="preserve"> </w:t>
            </w:r>
            <w:r w:rsidRPr="00217F36">
              <w:rPr>
                <w:sz w:val="12"/>
                <w:szCs w:val="12"/>
              </w:rPr>
              <w:t>системой удаленного считывания</w:t>
            </w:r>
          </w:p>
        </w:tc>
        <w:tc>
          <w:tcPr>
            <w:tcW w:w="567" w:type="dxa"/>
          </w:tcPr>
          <w:p w:rsidR="00385F16" w:rsidRPr="00720DB3" w:rsidRDefault="00385F16" w:rsidP="007A392A">
            <w:pPr>
              <w:jc w:val="center"/>
              <w:rPr>
                <w:sz w:val="12"/>
                <w:szCs w:val="12"/>
              </w:rPr>
            </w:pPr>
            <w:r w:rsidRPr="00720DB3">
              <w:rPr>
                <w:sz w:val="12"/>
                <w:szCs w:val="12"/>
              </w:rPr>
              <w:t>шт</w:t>
            </w:r>
          </w:p>
        </w:tc>
        <w:tc>
          <w:tcPr>
            <w:tcW w:w="709" w:type="dxa"/>
          </w:tcPr>
          <w:p w:rsidR="00385F16" w:rsidRDefault="00385F16" w:rsidP="007A39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  <w:p w:rsidR="00385F16" w:rsidRPr="00224403" w:rsidRDefault="00385F16" w:rsidP="007A39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08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</w:t>
            </w:r>
          </w:p>
        </w:tc>
        <w:tc>
          <w:tcPr>
            <w:tcW w:w="709" w:type="dxa"/>
          </w:tcPr>
          <w:p w:rsidR="00385F16" w:rsidRPr="00224403" w:rsidRDefault="00385F16" w:rsidP="007A39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0,1329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3,2076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0,36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0,0443</w:t>
            </w:r>
          </w:p>
        </w:tc>
        <w:tc>
          <w:tcPr>
            <w:tcW w:w="709" w:type="dxa"/>
          </w:tcPr>
          <w:p w:rsidR="00385F16" w:rsidRDefault="00385F16" w:rsidP="007A392A">
            <w:r>
              <w:rPr>
                <w:sz w:val="12"/>
                <w:szCs w:val="12"/>
              </w:rPr>
              <w:t>1,0692</w:t>
            </w:r>
          </w:p>
        </w:tc>
        <w:tc>
          <w:tcPr>
            <w:tcW w:w="708" w:type="dxa"/>
          </w:tcPr>
          <w:p w:rsidR="00385F16" w:rsidRDefault="00385F16" w:rsidP="007A392A">
            <w:r>
              <w:rPr>
                <w:sz w:val="12"/>
                <w:szCs w:val="12"/>
              </w:rPr>
              <w:t>1,02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0,1255</w:t>
            </w:r>
          </w:p>
        </w:tc>
        <w:tc>
          <w:tcPr>
            <w:tcW w:w="568" w:type="dxa"/>
          </w:tcPr>
          <w:p w:rsidR="00385F16" w:rsidRDefault="00385F16" w:rsidP="007A392A">
            <w:r>
              <w:rPr>
                <w:sz w:val="12"/>
                <w:szCs w:val="12"/>
              </w:rPr>
              <w:t>2,9631</w:t>
            </w:r>
          </w:p>
        </w:tc>
        <w:tc>
          <w:tcPr>
            <w:tcW w:w="708" w:type="dxa"/>
          </w:tcPr>
          <w:p w:rsidR="00385F16" w:rsidRDefault="00385F16" w:rsidP="007A392A">
            <w:r>
              <w:rPr>
                <w:sz w:val="12"/>
                <w:szCs w:val="12"/>
              </w:rPr>
              <w:t>1,02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0,1255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2,9631</w:t>
            </w:r>
          </w:p>
        </w:tc>
        <w:tc>
          <w:tcPr>
            <w:tcW w:w="709" w:type="dxa"/>
          </w:tcPr>
          <w:p w:rsidR="00385F16" w:rsidRDefault="00385F16" w:rsidP="007A392A">
            <w:r>
              <w:rPr>
                <w:sz w:val="12"/>
                <w:szCs w:val="12"/>
              </w:rPr>
              <w:t>0,9</w:t>
            </w:r>
          </w:p>
        </w:tc>
        <w:tc>
          <w:tcPr>
            <w:tcW w:w="709" w:type="dxa"/>
          </w:tcPr>
          <w:p w:rsidR="00385F16" w:rsidRDefault="00385F16" w:rsidP="007A392A">
            <w:r>
              <w:rPr>
                <w:sz w:val="12"/>
                <w:szCs w:val="12"/>
              </w:rPr>
              <w:t>0,3</w:t>
            </w:r>
          </w:p>
        </w:tc>
        <w:tc>
          <w:tcPr>
            <w:tcW w:w="709" w:type="dxa"/>
          </w:tcPr>
          <w:p w:rsidR="00385F16" w:rsidRDefault="00385F16" w:rsidP="007A392A">
            <w:r>
              <w:rPr>
                <w:sz w:val="12"/>
                <w:szCs w:val="12"/>
              </w:rPr>
              <w:t>0,172</w:t>
            </w:r>
          </w:p>
        </w:tc>
        <w:tc>
          <w:tcPr>
            <w:tcW w:w="567" w:type="dxa"/>
          </w:tcPr>
          <w:p w:rsidR="00385F16" w:rsidRDefault="00385F16" w:rsidP="007A392A">
            <w:r>
              <w:rPr>
                <w:sz w:val="12"/>
                <w:szCs w:val="12"/>
              </w:rPr>
              <w:t>0,172</w:t>
            </w:r>
          </w:p>
        </w:tc>
      </w:tr>
    </w:tbl>
    <w:p w:rsidR="00333A13" w:rsidRPr="004C7BA9" w:rsidRDefault="00333A13" w:rsidP="00385F16">
      <w:pPr>
        <w:rPr>
          <w:rFonts w:ascii="Times New Roman" w:hAnsi="Times New Roman" w:cs="Times New Roman"/>
          <w:sz w:val="28"/>
          <w:szCs w:val="28"/>
        </w:rPr>
      </w:pPr>
    </w:p>
    <w:sectPr w:rsidR="00333A13" w:rsidRPr="004C7BA9" w:rsidSect="00385F16">
      <w:pgSz w:w="16838" w:h="11906" w:orient="landscape"/>
      <w:pgMar w:top="1134" w:right="113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A6" w:rsidRDefault="00285FA6" w:rsidP="00C504C2">
      <w:pPr>
        <w:spacing w:after="0" w:line="240" w:lineRule="auto"/>
      </w:pPr>
      <w:r>
        <w:separator/>
      </w:r>
    </w:p>
  </w:endnote>
  <w:endnote w:type="continuationSeparator" w:id="0">
    <w:p w:rsidR="00285FA6" w:rsidRDefault="00285FA6" w:rsidP="00C5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A6" w:rsidRDefault="00285FA6" w:rsidP="00C504C2">
      <w:pPr>
        <w:spacing w:after="0" w:line="240" w:lineRule="auto"/>
      </w:pPr>
      <w:r>
        <w:separator/>
      </w:r>
    </w:p>
  </w:footnote>
  <w:footnote w:type="continuationSeparator" w:id="0">
    <w:p w:rsidR="00285FA6" w:rsidRDefault="00285FA6" w:rsidP="00C5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EFB"/>
    <w:multiLevelType w:val="multilevel"/>
    <w:tmpl w:val="1B5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D04DA"/>
    <w:multiLevelType w:val="hybridMultilevel"/>
    <w:tmpl w:val="F3B05790"/>
    <w:lvl w:ilvl="0" w:tplc="7ECCC9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0"/>
    <w:rsid w:val="000013FD"/>
    <w:rsid w:val="00011274"/>
    <w:rsid w:val="000121C5"/>
    <w:rsid w:val="00025193"/>
    <w:rsid w:val="00040B3B"/>
    <w:rsid w:val="00040EE6"/>
    <w:rsid w:val="00052E67"/>
    <w:rsid w:val="00081600"/>
    <w:rsid w:val="000A2C98"/>
    <w:rsid w:val="000E268E"/>
    <w:rsid w:val="001142F8"/>
    <w:rsid w:val="0012073C"/>
    <w:rsid w:val="0019506A"/>
    <w:rsid w:val="001A73C6"/>
    <w:rsid w:val="001D6FF2"/>
    <w:rsid w:val="001F1392"/>
    <w:rsid w:val="001F7DF7"/>
    <w:rsid w:val="00213C36"/>
    <w:rsid w:val="00213D93"/>
    <w:rsid w:val="0022645E"/>
    <w:rsid w:val="00252516"/>
    <w:rsid w:val="00285FA6"/>
    <w:rsid w:val="00294C74"/>
    <w:rsid w:val="002A6940"/>
    <w:rsid w:val="002B4CAB"/>
    <w:rsid w:val="00333A13"/>
    <w:rsid w:val="00350C17"/>
    <w:rsid w:val="003605E5"/>
    <w:rsid w:val="00380170"/>
    <w:rsid w:val="00385F16"/>
    <w:rsid w:val="00386F9B"/>
    <w:rsid w:val="00390521"/>
    <w:rsid w:val="003B35CA"/>
    <w:rsid w:val="003D14D9"/>
    <w:rsid w:val="003D226F"/>
    <w:rsid w:val="003D2DF1"/>
    <w:rsid w:val="00407975"/>
    <w:rsid w:val="0042180C"/>
    <w:rsid w:val="00432F89"/>
    <w:rsid w:val="00442FD9"/>
    <w:rsid w:val="00444B57"/>
    <w:rsid w:val="00451D72"/>
    <w:rsid w:val="004741BF"/>
    <w:rsid w:val="004813B3"/>
    <w:rsid w:val="004C7BA9"/>
    <w:rsid w:val="004D2B7D"/>
    <w:rsid w:val="004D681C"/>
    <w:rsid w:val="00523F38"/>
    <w:rsid w:val="00574768"/>
    <w:rsid w:val="005E51FF"/>
    <w:rsid w:val="00616B50"/>
    <w:rsid w:val="006367BE"/>
    <w:rsid w:val="00644349"/>
    <w:rsid w:val="00650648"/>
    <w:rsid w:val="00685111"/>
    <w:rsid w:val="006D4A7B"/>
    <w:rsid w:val="00705C74"/>
    <w:rsid w:val="007158D3"/>
    <w:rsid w:val="00717F32"/>
    <w:rsid w:val="00727919"/>
    <w:rsid w:val="0073756D"/>
    <w:rsid w:val="007525FA"/>
    <w:rsid w:val="007D497F"/>
    <w:rsid w:val="007F1965"/>
    <w:rsid w:val="00804D9A"/>
    <w:rsid w:val="008275C5"/>
    <w:rsid w:val="00895E5C"/>
    <w:rsid w:val="008B0C60"/>
    <w:rsid w:val="00957171"/>
    <w:rsid w:val="00990014"/>
    <w:rsid w:val="00997CC3"/>
    <w:rsid w:val="009A545F"/>
    <w:rsid w:val="009D40A3"/>
    <w:rsid w:val="009D6B9F"/>
    <w:rsid w:val="00A05E8D"/>
    <w:rsid w:val="00A071D2"/>
    <w:rsid w:val="00A212FD"/>
    <w:rsid w:val="00A24F26"/>
    <w:rsid w:val="00A407C6"/>
    <w:rsid w:val="00A41A43"/>
    <w:rsid w:val="00A87AD8"/>
    <w:rsid w:val="00AA4EC7"/>
    <w:rsid w:val="00AC4545"/>
    <w:rsid w:val="00B12239"/>
    <w:rsid w:val="00B2767C"/>
    <w:rsid w:val="00B56521"/>
    <w:rsid w:val="00B826B7"/>
    <w:rsid w:val="00B857C0"/>
    <w:rsid w:val="00B85F21"/>
    <w:rsid w:val="00B961B9"/>
    <w:rsid w:val="00BB53A0"/>
    <w:rsid w:val="00BD25FC"/>
    <w:rsid w:val="00C504C2"/>
    <w:rsid w:val="00C75705"/>
    <w:rsid w:val="00CB6ADE"/>
    <w:rsid w:val="00CE09FD"/>
    <w:rsid w:val="00CE22B0"/>
    <w:rsid w:val="00D00089"/>
    <w:rsid w:val="00D00493"/>
    <w:rsid w:val="00D03C1C"/>
    <w:rsid w:val="00D17C76"/>
    <w:rsid w:val="00D2688B"/>
    <w:rsid w:val="00D40238"/>
    <w:rsid w:val="00D51D45"/>
    <w:rsid w:val="00D67CFF"/>
    <w:rsid w:val="00D7339B"/>
    <w:rsid w:val="00DB6C9D"/>
    <w:rsid w:val="00DC6D1F"/>
    <w:rsid w:val="00E16D5F"/>
    <w:rsid w:val="00E470FB"/>
    <w:rsid w:val="00E607E4"/>
    <w:rsid w:val="00E7468F"/>
    <w:rsid w:val="00E87336"/>
    <w:rsid w:val="00EB56E5"/>
    <w:rsid w:val="00EC1801"/>
    <w:rsid w:val="00ED7C73"/>
    <w:rsid w:val="00F10FDA"/>
    <w:rsid w:val="00F13FEC"/>
    <w:rsid w:val="00F74617"/>
    <w:rsid w:val="00FA4430"/>
    <w:rsid w:val="00FB3461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E8E3-CA75-46FB-AC3F-59DAF34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4C2"/>
  </w:style>
  <w:style w:type="paragraph" w:styleId="a6">
    <w:name w:val="footer"/>
    <w:basedOn w:val="a"/>
    <w:link w:val="a7"/>
    <w:uiPriority w:val="99"/>
    <w:unhideWhenUsed/>
    <w:rsid w:val="00C5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4C2"/>
  </w:style>
  <w:style w:type="paragraph" w:styleId="a8">
    <w:name w:val="Balloon Text"/>
    <w:basedOn w:val="a"/>
    <w:link w:val="a9"/>
    <w:uiPriority w:val="99"/>
    <w:semiHidden/>
    <w:unhideWhenUsed/>
    <w:rsid w:val="00B5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2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C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5B58-F06D-4CAB-B253-F37E99B0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2023-01-24T08:58:00Z</cp:lastPrinted>
  <dcterms:created xsi:type="dcterms:W3CDTF">2023-02-23T11:40:00Z</dcterms:created>
  <dcterms:modified xsi:type="dcterms:W3CDTF">2023-02-23T11:40:00Z</dcterms:modified>
</cp:coreProperties>
</file>